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CE265">
      <w:pPr>
        <w:widowControl w:val="0"/>
        <w:spacing w:before="144" w:line="312" w:lineRule="auto"/>
        <w:jc w:val="center"/>
        <w:rPr>
          <w:b/>
          <w:bCs/>
          <w:color w:val="000000" w:themeColor="text1"/>
          <w:sz w:val="26"/>
          <w:szCs w:val="26"/>
          <w14:textFill>
            <w14:solidFill>
              <w14:schemeClr w14:val="tx1"/>
            </w14:solidFill>
          </w14:textFill>
        </w:rPr>
      </w:pPr>
      <w:r>
        <w:rPr>
          <w:color w:val="000000" w:themeColor="text1"/>
          <w:sz w:val="26"/>
          <w:szCs w:val="26"/>
          <w:lang w:val="en-US"/>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page">
                  <wp:align>center</wp:align>
                </wp:positionH>
                <wp:positionV relativeFrom="paragraph">
                  <wp:posOffset>-213360</wp:posOffset>
                </wp:positionV>
                <wp:extent cx="6748780" cy="9086850"/>
                <wp:effectExtent l="19050" t="19050" r="33655" b="38735"/>
                <wp:wrapNone/>
                <wp:docPr id="2" name="Rectangle 2"/>
                <wp:cNvGraphicFramePr/>
                <a:graphic xmlns:a="http://schemas.openxmlformats.org/drawingml/2006/main">
                  <a:graphicData uri="http://schemas.microsoft.com/office/word/2010/wordprocessingShape">
                    <wps:wsp>
                      <wps:cNvSpPr/>
                      <wps:spPr>
                        <a:xfrm>
                          <a:off x="0" y="0"/>
                          <a:ext cx="6748750" cy="9086820"/>
                        </a:xfrm>
                        <a:prstGeom prst="rect">
                          <a:avLst/>
                        </a:prstGeom>
                        <a:noFill/>
                        <a:ln w="57150" cap="flat" cmpd="thickThin">
                          <a:solidFill>
                            <a:srgbClr val="000000"/>
                          </a:solidFill>
                          <a:prstDash val="solid"/>
                          <a:miter lim="800000"/>
                          <a:headEnd type="none" w="sm" len="sm"/>
                          <a:tailEnd type="none" w="sm" len="sm"/>
                        </a:ln>
                      </wps:spPr>
                      <wps:txbx>
                        <w:txbxContent>
                          <w:p w14:paraId="0FCB3F5D">
                            <w:pPr>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top:-16.8pt;height:715.5pt;width:531.4pt;mso-position-horizontal:center;mso-position-horizontal-relative:page;z-index:-251657216;v-text-anchor:middle;mso-width-relative:page;mso-height-relative:page;" filled="f" stroked="t" coordsize="21600,21600" o:gfxdata="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X6s3K2gAAAAoBAAAPAAAAAAAAAAEAIAAAACIAAABkcnMv&#10;ZG93bnJldi54bWxQSwECFAAUAAAACACHTuJAZ4Xa9zoCAACUBAAADgAAAAAAAAABACAAAAApAQAA&#10;ZHJzL2Uyb0RvYy54bWxQSwUGAAAAAAYABgBZAQAA1QUAAAAA&#10;">
                <v:fill on="f" focussize="0,0"/>
                <v:stroke weight="4.5pt" color="#000000" linestyle="thickThin" miterlimit="8" joinstyle="miter" startarrowwidth="narrow" startarrowlength="short" endarrowwidth="narrow" endarrowlength="short"/>
                <v:imagedata o:title=""/>
                <o:lock v:ext="edit" aspectratio="f"/>
                <v:textbox inset="7.1988188976378pt,7.1988188976378pt,7.1988188976378pt,7.1988188976378pt">
                  <w:txbxContent>
                    <w:p w14:paraId="0FCB3F5D">
                      <w:pPr>
                        <w:jc w:val="left"/>
                      </w:pPr>
                    </w:p>
                  </w:txbxContent>
                </v:textbox>
              </v:rect>
            </w:pict>
          </mc:Fallback>
        </mc:AlternateContent>
      </w:r>
      <w:r>
        <w:rPr>
          <w:b/>
          <w:bCs/>
          <w:color w:val="000000" w:themeColor="text1"/>
          <w:sz w:val="26"/>
          <w:szCs w:val="26"/>
          <w14:textFill>
            <w14:solidFill>
              <w14:schemeClr w14:val="tx1"/>
            </w14:solidFill>
          </w14:textFill>
        </w:rPr>
        <w:t>ỦY BAN NHÂN DÂN TỈNH NINH BÌNH</w:t>
      </w:r>
      <w:bookmarkStart w:id="0" w:name="_vorfcwhlalhm" w:colFirst="0" w:colLast="0"/>
      <w:bookmarkEnd w:id="0"/>
    </w:p>
    <w:p w14:paraId="6CA604D8">
      <w:pPr>
        <w:widowControl w:val="0"/>
        <w:spacing w:before="120" w:after="160" w:line="312"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 xml:space="preserve"> SỞ KHOA HỌC VÀ CÔNG NGHỆ</w:t>
      </w:r>
    </w:p>
    <w:p w14:paraId="3814CF9A">
      <w:pPr>
        <w:widowControl w:val="0"/>
        <w:spacing w:before="144" w:after="160" w:line="312" w:lineRule="auto"/>
        <w:jc w:val="center"/>
        <w:rPr>
          <w:b/>
          <w:bCs/>
          <w:color w:val="000000" w:themeColor="text1"/>
          <w:sz w:val="26"/>
          <w:szCs w:val="26"/>
          <w14:textFill>
            <w14:solidFill>
              <w14:schemeClr w14:val="tx1"/>
            </w14:solidFill>
          </w14:textFill>
        </w:rPr>
      </w:pPr>
    </w:p>
    <w:p w14:paraId="116D0776">
      <w:pPr>
        <w:widowControl w:val="0"/>
        <w:spacing w:before="144" w:after="160" w:line="312" w:lineRule="auto"/>
        <w:jc w:val="center"/>
        <w:rPr>
          <w:b/>
          <w:bCs/>
          <w:color w:val="000000" w:themeColor="text1"/>
          <w:sz w:val="26"/>
          <w:szCs w:val="26"/>
          <w14:textFill>
            <w14:solidFill>
              <w14:schemeClr w14:val="tx1"/>
            </w14:solidFill>
          </w14:textFill>
        </w:rPr>
      </w:pPr>
    </w:p>
    <w:p w14:paraId="1EC3FC68">
      <w:pPr>
        <w:widowControl w:val="0"/>
        <w:spacing w:before="144" w:after="160" w:line="312" w:lineRule="auto"/>
        <w:rPr>
          <w:b/>
          <w:bCs/>
          <w:i/>
          <w:iCs/>
          <w:color w:val="000000" w:themeColor="text1"/>
          <w:sz w:val="26"/>
          <w:szCs w:val="26"/>
          <w14:textFill>
            <w14:solidFill>
              <w14:schemeClr w14:val="tx1"/>
            </w14:solidFill>
          </w14:textFill>
        </w:rPr>
      </w:pPr>
    </w:p>
    <w:p w14:paraId="5FB6E0A5">
      <w:pPr>
        <w:widowControl w:val="0"/>
        <w:spacing w:before="144" w:after="160" w:line="312" w:lineRule="auto"/>
        <w:jc w:val="center"/>
        <w:rPr>
          <w:b/>
          <w:bCs/>
          <w:color w:val="000000" w:themeColor="text1"/>
          <w:sz w:val="26"/>
          <w:szCs w:val="26"/>
          <w14:textFill>
            <w14:solidFill>
              <w14:schemeClr w14:val="tx1"/>
            </w14:solidFill>
          </w14:textFill>
        </w:rPr>
      </w:pPr>
    </w:p>
    <w:p w14:paraId="05D502FF">
      <w:pPr>
        <w:widowControl w:val="0"/>
        <w:spacing w:before="144" w:after="160" w:line="312" w:lineRule="auto"/>
        <w:jc w:val="center"/>
        <w:rPr>
          <w:b/>
          <w:bCs/>
          <w:color w:val="000000" w:themeColor="text1"/>
          <w:sz w:val="26"/>
          <w:szCs w:val="26"/>
          <w14:textFill>
            <w14:solidFill>
              <w14:schemeClr w14:val="tx1"/>
            </w14:solidFill>
          </w14:textFill>
        </w:rPr>
      </w:pPr>
    </w:p>
    <w:p w14:paraId="57E09713">
      <w:pPr>
        <w:widowControl w:val="0"/>
        <w:spacing w:before="144" w:after="160" w:line="312" w:lineRule="auto"/>
        <w:jc w:val="center"/>
        <w:rPr>
          <w:b/>
          <w:bCs/>
          <w:color w:val="000000" w:themeColor="text1"/>
          <w:sz w:val="26"/>
          <w:szCs w:val="26"/>
          <w14:textFill>
            <w14:solidFill>
              <w14:schemeClr w14:val="tx1"/>
            </w14:solidFill>
          </w14:textFill>
        </w:rPr>
      </w:pPr>
    </w:p>
    <w:p w14:paraId="5E1094B5">
      <w:pPr>
        <w:widowControl w:val="0"/>
        <w:spacing w:before="144" w:after="160" w:line="312" w:lineRule="auto"/>
        <w:jc w:val="center"/>
        <w:rPr>
          <w:b/>
          <w:bCs/>
          <w:color w:val="000000" w:themeColor="text1"/>
          <w:sz w:val="26"/>
          <w:szCs w:val="26"/>
          <w14:textFill>
            <w14:solidFill>
              <w14:schemeClr w14:val="tx1"/>
            </w14:solidFill>
          </w14:textFill>
        </w:rPr>
      </w:pPr>
    </w:p>
    <w:p w14:paraId="3D25D7AB">
      <w:pPr>
        <w:widowControl w:val="0"/>
        <w:spacing w:before="144" w:after="160" w:line="312" w:lineRule="auto"/>
        <w:jc w:val="center"/>
        <w:rPr>
          <w:b/>
          <w:bCs/>
          <w:color w:val="000000" w:themeColor="text1"/>
          <w:sz w:val="26"/>
          <w:szCs w:val="26"/>
          <w14:textFill>
            <w14:solidFill>
              <w14:schemeClr w14:val="tx1"/>
            </w14:solidFill>
          </w14:textFill>
        </w:rPr>
      </w:pPr>
    </w:p>
    <w:p w14:paraId="6FCF94E2">
      <w:pPr>
        <w:widowControl w:val="0"/>
        <w:spacing w:before="144" w:after="160" w:line="312" w:lineRule="auto"/>
        <w:jc w:val="center"/>
        <w:rPr>
          <w:b/>
          <w:b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DỰ THẢO ĐỀ ÁN:</w:t>
      </w:r>
    </w:p>
    <w:p w14:paraId="098F932C">
      <w:pPr>
        <w:widowControl w:val="0"/>
        <w:spacing w:before="144" w:after="160" w:line="312" w:lineRule="auto"/>
        <w:jc w:val="center"/>
        <w:rPr>
          <w:b/>
          <w:b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 xml:space="preserve">PHÁT TRIỂN HỆ SINH THÁI ĐỔI MỚI SÁNG TẠO TỈNH NINH BÌNH </w:t>
      </w:r>
    </w:p>
    <w:p w14:paraId="640DB634">
      <w:pPr>
        <w:widowControl w:val="0"/>
        <w:spacing w:before="144" w:after="160" w:line="312" w:lineRule="auto"/>
        <w:jc w:val="center"/>
        <w:rPr>
          <w:b/>
          <w:b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GIAI ĐOẠN 2026-2030</w:t>
      </w:r>
    </w:p>
    <w:p w14:paraId="7D13E412">
      <w:pPr>
        <w:widowControl w:val="0"/>
        <w:spacing w:before="144" w:after="160" w:line="312" w:lineRule="auto"/>
        <w:rPr>
          <w:b/>
          <w:bCs/>
          <w:color w:val="000000" w:themeColor="text1"/>
          <w:sz w:val="26"/>
          <w:szCs w:val="26"/>
          <w14:textFill>
            <w14:solidFill>
              <w14:schemeClr w14:val="tx1"/>
            </w14:solidFill>
          </w14:textFill>
        </w:rPr>
      </w:pPr>
    </w:p>
    <w:p w14:paraId="7F21780D">
      <w:pPr>
        <w:widowControl w:val="0"/>
        <w:spacing w:before="144" w:after="160" w:line="312" w:lineRule="auto"/>
        <w:ind w:left="1276"/>
        <w:jc w:val="center"/>
        <w:rPr>
          <w:b/>
          <w:bCs/>
          <w:color w:val="000000" w:themeColor="text1"/>
          <w:sz w:val="26"/>
          <w:szCs w:val="26"/>
          <w14:textFill>
            <w14:solidFill>
              <w14:schemeClr w14:val="tx1"/>
            </w14:solidFill>
          </w14:textFill>
        </w:rPr>
      </w:pPr>
    </w:p>
    <w:p w14:paraId="4207921E">
      <w:pPr>
        <w:widowControl w:val="0"/>
        <w:spacing w:before="144" w:after="160" w:line="312" w:lineRule="auto"/>
        <w:ind w:left="1276"/>
        <w:jc w:val="center"/>
        <w:rPr>
          <w:b/>
          <w:bCs/>
          <w:color w:val="000000" w:themeColor="text1"/>
          <w:sz w:val="26"/>
          <w:szCs w:val="26"/>
          <w14:textFill>
            <w14:solidFill>
              <w14:schemeClr w14:val="tx1"/>
            </w14:solidFill>
          </w14:textFill>
        </w:rPr>
      </w:pPr>
    </w:p>
    <w:p w14:paraId="377D6B6E">
      <w:pPr>
        <w:widowControl w:val="0"/>
        <w:spacing w:before="144" w:after="160" w:line="312" w:lineRule="auto"/>
        <w:ind w:left="1276"/>
        <w:jc w:val="center"/>
        <w:rPr>
          <w:b/>
          <w:bCs/>
          <w:color w:val="000000" w:themeColor="text1"/>
          <w:sz w:val="26"/>
          <w:szCs w:val="26"/>
          <w14:textFill>
            <w14:solidFill>
              <w14:schemeClr w14:val="tx1"/>
            </w14:solidFill>
          </w14:textFill>
        </w:rPr>
      </w:pPr>
    </w:p>
    <w:p w14:paraId="618F2F54">
      <w:pPr>
        <w:widowControl w:val="0"/>
        <w:spacing w:before="144" w:after="160" w:line="312" w:lineRule="auto"/>
        <w:ind w:left="1276"/>
        <w:jc w:val="center"/>
        <w:rPr>
          <w:b/>
          <w:bCs/>
          <w:color w:val="000000" w:themeColor="text1"/>
          <w:sz w:val="26"/>
          <w:szCs w:val="26"/>
          <w14:textFill>
            <w14:solidFill>
              <w14:schemeClr w14:val="tx1"/>
            </w14:solidFill>
          </w14:textFill>
        </w:rPr>
      </w:pPr>
    </w:p>
    <w:p w14:paraId="4D179796">
      <w:pPr>
        <w:widowControl w:val="0"/>
        <w:spacing w:before="144" w:after="160" w:line="312" w:lineRule="auto"/>
        <w:ind w:left="1276"/>
        <w:jc w:val="center"/>
        <w:rPr>
          <w:b/>
          <w:bCs/>
          <w:color w:val="000000" w:themeColor="text1"/>
          <w:sz w:val="26"/>
          <w:szCs w:val="26"/>
          <w14:textFill>
            <w14:solidFill>
              <w14:schemeClr w14:val="tx1"/>
            </w14:solidFill>
          </w14:textFill>
        </w:rPr>
      </w:pPr>
    </w:p>
    <w:p w14:paraId="1D1F28D1">
      <w:pPr>
        <w:widowControl w:val="0"/>
        <w:spacing w:before="144" w:after="160" w:line="312" w:lineRule="auto"/>
        <w:ind w:left="1276"/>
        <w:jc w:val="center"/>
        <w:rPr>
          <w:b/>
          <w:bCs/>
          <w:color w:val="000000" w:themeColor="text1"/>
          <w:sz w:val="26"/>
          <w:szCs w:val="26"/>
          <w14:textFill>
            <w14:solidFill>
              <w14:schemeClr w14:val="tx1"/>
            </w14:solidFill>
          </w14:textFill>
        </w:rPr>
      </w:pPr>
    </w:p>
    <w:p w14:paraId="4F6D8CCD">
      <w:pPr>
        <w:widowControl w:val="0"/>
        <w:spacing w:before="144" w:after="160" w:line="312" w:lineRule="auto"/>
        <w:ind w:left="1276"/>
        <w:jc w:val="center"/>
        <w:rPr>
          <w:b/>
          <w:bCs/>
          <w:color w:val="000000" w:themeColor="text1"/>
          <w:sz w:val="26"/>
          <w:szCs w:val="26"/>
          <w14:textFill>
            <w14:solidFill>
              <w14:schemeClr w14:val="tx1"/>
            </w14:solidFill>
          </w14:textFill>
        </w:rPr>
      </w:pPr>
    </w:p>
    <w:p w14:paraId="38BF7B20">
      <w:pPr>
        <w:widowControl w:val="0"/>
        <w:spacing w:before="144" w:after="160" w:line="312" w:lineRule="auto"/>
        <w:ind w:left="1276"/>
        <w:jc w:val="center"/>
        <w:rPr>
          <w:b/>
          <w:bCs/>
          <w:color w:val="000000" w:themeColor="text1"/>
          <w:sz w:val="26"/>
          <w:szCs w:val="26"/>
          <w14:textFill>
            <w14:solidFill>
              <w14:schemeClr w14:val="tx1"/>
            </w14:solidFill>
          </w14:textFill>
        </w:rPr>
      </w:pPr>
    </w:p>
    <w:p w14:paraId="24E34E9F">
      <w:pPr>
        <w:widowControl w:val="0"/>
        <w:spacing w:before="144" w:after="160" w:line="312" w:lineRule="auto"/>
        <w:ind w:left="1276"/>
        <w:jc w:val="center"/>
        <w:rPr>
          <w:b/>
          <w:bCs/>
          <w:color w:val="000000" w:themeColor="text1"/>
          <w:sz w:val="26"/>
          <w:szCs w:val="26"/>
          <w14:textFill>
            <w14:solidFill>
              <w14:schemeClr w14:val="tx1"/>
            </w14:solidFill>
          </w14:textFill>
        </w:rPr>
      </w:pPr>
    </w:p>
    <w:p w14:paraId="3F4BF4FD">
      <w:pPr>
        <w:widowControl w:val="0"/>
        <w:spacing w:before="144" w:after="160" w:line="312" w:lineRule="auto"/>
        <w:ind w:left="1276"/>
        <w:jc w:val="center"/>
        <w:rPr>
          <w:b/>
          <w:bCs/>
          <w:color w:val="000000" w:themeColor="text1"/>
          <w:sz w:val="26"/>
          <w:szCs w:val="26"/>
          <w14:textFill>
            <w14:solidFill>
              <w14:schemeClr w14:val="tx1"/>
            </w14:solidFill>
          </w14:textFill>
        </w:rPr>
      </w:pPr>
    </w:p>
    <w:p w14:paraId="600275D6">
      <w:pPr>
        <w:widowControl w:val="0"/>
        <w:spacing w:before="144" w:after="160" w:line="312" w:lineRule="auto"/>
        <w:jc w:val="center"/>
        <w:rPr>
          <w:b/>
          <w:b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Ninh Bình, tháng 04 năm 2026</w:t>
      </w:r>
      <w:r>
        <w:rPr>
          <w:color w:val="000000" w:themeColor="text1"/>
          <w:sz w:val="26"/>
          <w:szCs w:val="26"/>
          <w14:textFill>
            <w14:solidFill>
              <w14:schemeClr w14:val="tx1"/>
            </w14:solidFill>
          </w14:textFill>
        </w:rPr>
        <w:br w:type="page"/>
      </w:r>
    </w:p>
    <w:p w14:paraId="596F6A1B">
      <w:pPr>
        <w:spacing w:after="300"/>
        <w:jc w:val="center"/>
        <w:rPr>
          <w:color w:val="000000" w:themeColor="text1"/>
          <w:sz w:val="26"/>
          <w:szCs w:val="26"/>
          <w14:textFill>
            <w14:solidFill>
              <w14:schemeClr w14:val="tx1"/>
            </w14:solidFill>
          </w14:textFill>
        </w:rPr>
      </w:pPr>
      <w:r>
        <w:rPr>
          <w:b/>
          <w:bCs/>
          <w:smallCaps/>
          <w:color w:val="000000" w:themeColor="text1"/>
          <w:sz w:val="26"/>
          <w:szCs w:val="26"/>
          <w14:textFill>
            <w14:solidFill>
              <w14:schemeClr w14:val="tx1"/>
            </w14:solidFill>
          </w14:textFill>
        </w:rPr>
        <w:t>DANH MỤC TỪ VIẾT TẮT</w:t>
      </w:r>
    </w:p>
    <w:tbl>
      <w:tblPr>
        <w:tblStyle w:val="38"/>
        <w:tblW w:w="93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00"/>
        <w:gridCol w:w="7760"/>
      </w:tblGrid>
      <w:tr w14:paraId="30276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22468612">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Từ viết tắt</w:t>
            </w:r>
          </w:p>
        </w:tc>
        <w:tc>
          <w:tcPr>
            <w:tcW w:w="7760" w:type="dxa"/>
          </w:tcPr>
          <w:p w14:paraId="06922879">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Giải thích</w:t>
            </w:r>
          </w:p>
        </w:tc>
      </w:tr>
      <w:tr w14:paraId="37A9E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7360242A">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AI</w:t>
            </w:r>
          </w:p>
        </w:tc>
        <w:tc>
          <w:tcPr>
            <w:tcW w:w="7760" w:type="dxa"/>
          </w:tcPr>
          <w:p w14:paraId="4A584708">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Artificial Intelligence – Trí tuệ nhân tạo</w:t>
            </w:r>
          </w:p>
        </w:tc>
      </w:tr>
      <w:tr w14:paraId="2D1CC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0D13A60A">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AR</w:t>
            </w:r>
          </w:p>
        </w:tc>
        <w:tc>
          <w:tcPr>
            <w:tcW w:w="7760" w:type="dxa"/>
          </w:tcPr>
          <w:p w14:paraId="45D590B2">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Augmented Reality – Thực tế tăng cường</w:t>
            </w:r>
          </w:p>
        </w:tc>
      </w:tr>
      <w:tr w14:paraId="3EC3F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43E2A11E">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CĐS</w:t>
            </w:r>
          </w:p>
        </w:tc>
        <w:tc>
          <w:tcPr>
            <w:tcW w:w="7760" w:type="dxa"/>
          </w:tcPr>
          <w:p w14:paraId="684BCB52">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Chuyển đổi số</w:t>
            </w:r>
          </w:p>
        </w:tc>
      </w:tr>
      <w:tr w14:paraId="7E07E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7EF36876">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CP</w:t>
            </w:r>
          </w:p>
        </w:tc>
        <w:tc>
          <w:tcPr>
            <w:tcW w:w="7760" w:type="dxa"/>
          </w:tcPr>
          <w:p w14:paraId="5AFB841B">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Chính phủ</w:t>
            </w:r>
          </w:p>
        </w:tc>
      </w:tr>
      <w:tr w14:paraId="34677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107A2CDB">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DN</w:t>
            </w:r>
          </w:p>
        </w:tc>
        <w:tc>
          <w:tcPr>
            <w:tcW w:w="7760" w:type="dxa"/>
          </w:tcPr>
          <w:p w14:paraId="3A178C20">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Doanh nghiệp</w:t>
            </w:r>
          </w:p>
        </w:tc>
      </w:tr>
      <w:tr w14:paraId="550BC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7FF8B9C1">
            <w:pPr>
              <w:spacing w:before="60" w:line="276" w:lineRule="auto"/>
              <w:jc w:val="center"/>
              <w:rPr>
                <w:color w:val="000000" w:themeColor="text1"/>
                <w:sz w:val="26"/>
                <w:szCs w:val="26"/>
                <w:lang w:val="en-GB"/>
                <w14:textFill>
                  <w14:solidFill>
                    <w14:schemeClr w14:val="tx1"/>
                  </w14:solidFill>
                </w14:textFill>
              </w:rPr>
            </w:pPr>
            <w:r>
              <w:rPr>
                <w:b/>
                <w:bCs/>
                <w:color w:val="000000" w:themeColor="text1"/>
                <w:sz w:val="26"/>
                <w:szCs w:val="26"/>
                <w:lang w:val="en-GB"/>
                <w14:textFill>
                  <w14:solidFill>
                    <w14:schemeClr w14:val="tx1"/>
                  </w14:solidFill>
                </w14:textFill>
              </w:rPr>
              <w:t>ĐMST</w:t>
            </w:r>
          </w:p>
        </w:tc>
        <w:tc>
          <w:tcPr>
            <w:tcW w:w="7760" w:type="dxa"/>
          </w:tcPr>
          <w:p w14:paraId="03FB26CA">
            <w:pPr>
              <w:spacing w:before="60" w:line="276" w:lineRule="auto"/>
              <w:rPr>
                <w:color w:val="000000" w:themeColor="text1"/>
                <w:sz w:val="26"/>
                <w:szCs w:val="26"/>
                <w:lang w:val="en-GB"/>
                <w14:textFill>
                  <w14:solidFill>
                    <w14:schemeClr w14:val="tx1"/>
                  </w14:solidFill>
                </w14:textFill>
              </w:rPr>
            </w:pPr>
            <w:r>
              <w:rPr>
                <w:color w:val="000000" w:themeColor="text1"/>
                <w:sz w:val="26"/>
                <w:szCs w:val="26"/>
                <w:lang w:val="en-GB"/>
                <w14:textFill>
                  <w14:solidFill>
                    <w14:schemeClr w14:val="tx1"/>
                  </w14:solidFill>
                </w14:textFill>
              </w:rPr>
              <w:t>ĐMST</w:t>
            </w:r>
          </w:p>
        </w:tc>
      </w:tr>
      <w:tr w14:paraId="393F8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401DB47D">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FDI</w:t>
            </w:r>
          </w:p>
        </w:tc>
        <w:tc>
          <w:tcPr>
            <w:tcW w:w="7760" w:type="dxa"/>
          </w:tcPr>
          <w:p w14:paraId="4EA208FC">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Foreign Direct Investment – Đầu tư trực tiếp nước ngoài</w:t>
            </w:r>
          </w:p>
        </w:tc>
      </w:tr>
      <w:tr w14:paraId="35CA3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54885D2A">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GDP</w:t>
            </w:r>
          </w:p>
        </w:tc>
        <w:tc>
          <w:tcPr>
            <w:tcW w:w="7760" w:type="dxa"/>
          </w:tcPr>
          <w:p w14:paraId="0E6AE46F">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Gross Domestic Product – Tổng sản phẩm quốc nội</w:t>
            </w:r>
          </w:p>
        </w:tc>
      </w:tr>
      <w:tr w14:paraId="3C003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29BD979C">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GII</w:t>
            </w:r>
          </w:p>
        </w:tc>
        <w:tc>
          <w:tcPr>
            <w:tcW w:w="7760" w:type="dxa"/>
          </w:tcPr>
          <w:p w14:paraId="696DFFEE">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Global Innovation Index – Chỉ số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toàn cầu</w:t>
            </w:r>
          </w:p>
        </w:tc>
      </w:tr>
      <w:tr w14:paraId="42C94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6FAB0737">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GRDP</w:t>
            </w:r>
          </w:p>
        </w:tc>
        <w:tc>
          <w:tcPr>
            <w:tcW w:w="7760" w:type="dxa"/>
          </w:tcPr>
          <w:p w14:paraId="0F40C4C4">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Gross Regional Domestic Product – Tổng sản phẩm trên địa bàn</w:t>
            </w:r>
          </w:p>
        </w:tc>
      </w:tr>
      <w:tr w14:paraId="4378D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3F10CE3A">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HĐND</w:t>
            </w:r>
          </w:p>
        </w:tc>
        <w:tc>
          <w:tcPr>
            <w:tcW w:w="7760" w:type="dxa"/>
          </w:tcPr>
          <w:p w14:paraId="02C4658F">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Hội đồng nhân dân</w:t>
            </w:r>
          </w:p>
        </w:tc>
      </w:tr>
      <w:tr w14:paraId="6DABC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0D754E0B">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HSP</w:t>
            </w:r>
          </w:p>
        </w:tc>
        <w:tc>
          <w:tcPr>
            <w:tcW w:w="7760" w:type="dxa"/>
          </w:tcPr>
          <w:p w14:paraId="683FABB9">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Hsinchu Science Park – Công viên Khoa học Tân Trúc (Đài Loan)</w:t>
            </w:r>
          </w:p>
        </w:tc>
      </w:tr>
      <w:tr w14:paraId="14250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72E7F958">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HST</w:t>
            </w:r>
          </w:p>
        </w:tc>
        <w:tc>
          <w:tcPr>
            <w:tcW w:w="7760" w:type="dxa"/>
          </w:tcPr>
          <w:p w14:paraId="485586E6">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Hệ sinh thái</w:t>
            </w:r>
          </w:p>
        </w:tc>
      </w:tr>
      <w:tr w14:paraId="0CAD4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6CBC7C76">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ISO</w:t>
            </w:r>
          </w:p>
        </w:tc>
        <w:tc>
          <w:tcPr>
            <w:tcW w:w="7760" w:type="dxa"/>
          </w:tcPr>
          <w:p w14:paraId="15FFAD6F">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International Organization for Standardization – Tổ chức Tiêu chuẩn hóa quốc tế</w:t>
            </w:r>
          </w:p>
        </w:tc>
      </w:tr>
      <w:tr w14:paraId="62937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6F1C4FC6">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IT</w:t>
            </w:r>
          </w:p>
        </w:tc>
        <w:tc>
          <w:tcPr>
            <w:tcW w:w="7760" w:type="dxa"/>
          </w:tcPr>
          <w:p w14:paraId="2C2D57F1">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Information Technology – Công nghệ thông tin</w:t>
            </w:r>
          </w:p>
        </w:tc>
      </w:tr>
      <w:tr w14:paraId="1EE13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4EA982F0">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ITRI</w:t>
            </w:r>
          </w:p>
        </w:tc>
        <w:tc>
          <w:tcPr>
            <w:tcW w:w="7760" w:type="dxa"/>
          </w:tcPr>
          <w:p w14:paraId="5810FDB0">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Industrial Technology Research Institute – Viện Nghiên cứu Công nghệ Công nghiệp (Đài Loan)</w:t>
            </w:r>
          </w:p>
        </w:tc>
      </w:tr>
      <w:tr w14:paraId="52386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409DBFD5">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KCN</w:t>
            </w:r>
          </w:p>
        </w:tc>
        <w:tc>
          <w:tcPr>
            <w:tcW w:w="7760" w:type="dxa"/>
          </w:tcPr>
          <w:p w14:paraId="7ED526A4">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Khu công nghiệp</w:t>
            </w:r>
          </w:p>
        </w:tc>
      </w:tr>
      <w:tr w14:paraId="359D6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57E3C936">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KH&amp;CN</w:t>
            </w:r>
          </w:p>
        </w:tc>
        <w:tc>
          <w:tcPr>
            <w:tcW w:w="7760" w:type="dxa"/>
          </w:tcPr>
          <w:p w14:paraId="58AB104E">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Khoa học và Công nghệ</w:t>
            </w:r>
          </w:p>
        </w:tc>
      </w:tr>
      <w:tr w14:paraId="3CF2D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73342403">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KHCN</w:t>
            </w:r>
          </w:p>
        </w:tc>
        <w:tc>
          <w:tcPr>
            <w:tcW w:w="7760" w:type="dxa"/>
          </w:tcPr>
          <w:p w14:paraId="325689D7">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Khoa học công nghệ</w:t>
            </w:r>
          </w:p>
        </w:tc>
      </w:tr>
      <w:tr w14:paraId="04F0D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4AF915EA">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KPI</w:t>
            </w:r>
          </w:p>
        </w:tc>
        <w:tc>
          <w:tcPr>
            <w:tcW w:w="7760" w:type="dxa"/>
          </w:tcPr>
          <w:p w14:paraId="50CA88D9">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Key Performance Indicator – Chỉ số hiệu suất chính</w:t>
            </w:r>
          </w:p>
        </w:tc>
      </w:tr>
      <w:tr w14:paraId="4A732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270203A1">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MVP</w:t>
            </w:r>
          </w:p>
        </w:tc>
        <w:tc>
          <w:tcPr>
            <w:tcW w:w="7760" w:type="dxa"/>
          </w:tcPr>
          <w:p w14:paraId="1351F6BB">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Minimum Viable Product – Sản phẩm tối thiểu khả thi</w:t>
            </w:r>
          </w:p>
        </w:tc>
      </w:tr>
      <w:tr w14:paraId="6EC29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3E1654A4">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NQ</w:t>
            </w:r>
          </w:p>
        </w:tc>
        <w:tc>
          <w:tcPr>
            <w:tcW w:w="7760" w:type="dxa"/>
          </w:tcPr>
          <w:p w14:paraId="79B9FA41">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Nghị quyết</w:t>
            </w:r>
          </w:p>
        </w:tc>
      </w:tr>
      <w:tr w14:paraId="4A4A9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3A58E7FC">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NXP</w:t>
            </w:r>
          </w:p>
        </w:tc>
        <w:tc>
          <w:tcPr>
            <w:tcW w:w="7760" w:type="dxa"/>
          </w:tcPr>
          <w:p w14:paraId="7FC882B0">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NXP Semiconductors – Công ty bán dẫn NXP (Hà Lan)</w:t>
            </w:r>
          </w:p>
        </w:tc>
      </w:tr>
      <w:tr w14:paraId="300B8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2AEE49EA">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ODA</w:t>
            </w:r>
          </w:p>
        </w:tc>
        <w:tc>
          <w:tcPr>
            <w:tcW w:w="7760" w:type="dxa"/>
          </w:tcPr>
          <w:p w14:paraId="12966E20">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Official Development Assistance – Hỗ trợ phát triển chính thức</w:t>
            </w:r>
          </w:p>
        </w:tc>
      </w:tr>
      <w:tr w14:paraId="7B529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46190FC4">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PII</w:t>
            </w:r>
          </w:p>
        </w:tc>
        <w:tc>
          <w:tcPr>
            <w:tcW w:w="7760" w:type="dxa"/>
          </w:tcPr>
          <w:p w14:paraId="4A7EBE2D">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Provincial Innovation Index – Chỉ số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cấp địa phương</w:t>
            </w:r>
          </w:p>
        </w:tc>
      </w:tr>
      <w:tr w14:paraId="3BE5A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2A12DA0D">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PPP</w:t>
            </w:r>
          </w:p>
        </w:tc>
        <w:tc>
          <w:tcPr>
            <w:tcW w:w="7760" w:type="dxa"/>
          </w:tcPr>
          <w:p w14:paraId="304400F6">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Public-Private Partnership – Hợp tác công tư</w:t>
            </w:r>
          </w:p>
        </w:tc>
      </w:tr>
      <w:tr w14:paraId="515DF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7464F86F">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PQA</w:t>
            </w:r>
          </w:p>
        </w:tc>
        <w:tc>
          <w:tcPr>
            <w:tcW w:w="7760" w:type="dxa"/>
          </w:tcPr>
          <w:p w14:paraId="609BBAE6">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Công ty Cổ phần Dược phẩm PQA</w:t>
            </w:r>
          </w:p>
        </w:tc>
      </w:tr>
      <w:tr w14:paraId="05081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1DE8BD53">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PTV</w:t>
            </w:r>
          </w:p>
        </w:tc>
        <w:tc>
          <w:tcPr>
            <w:tcW w:w="7760" w:type="dxa"/>
          </w:tcPr>
          <w:p w14:paraId="04B3E941">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Pangyo Techno Valley – Thung lũng Công nghệ Pangyo (Hàn Quốc)</w:t>
            </w:r>
          </w:p>
        </w:tc>
      </w:tr>
      <w:tr w14:paraId="2F148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23441685">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R&amp;D</w:t>
            </w:r>
          </w:p>
        </w:tc>
        <w:tc>
          <w:tcPr>
            <w:tcW w:w="7760" w:type="dxa"/>
          </w:tcPr>
          <w:p w14:paraId="0620B035">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Research and Development – Nghiên cứu và Phát triển</w:t>
            </w:r>
          </w:p>
        </w:tc>
      </w:tr>
      <w:tr w14:paraId="53B9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411C7851">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RIS</w:t>
            </w:r>
          </w:p>
        </w:tc>
        <w:tc>
          <w:tcPr>
            <w:tcW w:w="7760" w:type="dxa"/>
          </w:tcPr>
          <w:p w14:paraId="7C408EF8">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Regional Innovation Systems – Hệ thống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vùng</w:t>
            </w:r>
          </w:p>
        </w:tc>
      </w:tr>
      <w:tr w14:paraId="0AD5D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155E3474">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SHTP</w:t>
            </w:r>
          </w:p>
        </w:tc>
        <w:tc>
          <w:tcPr>
            <w:tcW w:w="7760" w:type="dxa"/>
          </w:tcPr>
          <w:p w14:paraId="5A0EF4E5">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Saigon Hi-Tech Park – Khu Công nghệ cao TP. Hồ Chí Minh</w:t>
            </w:r>
          </w:p>
        </w:tc>
      </w:tr>
      <w:tr w14:paraId="5E27A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496E20D1">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SME</w:t>
            </w:r>
          </w:p>
        </w:tc>
        <w:tc>
          <w:tcPr>
            <w:tcW w:w="7760" w:type="dxa"/>
          </w:tcPr>
          <w:p w14:paraId="20EDCEEA">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Small and Medium-sized Enterprises – Doanh nghiệp vừa và nhỏ</w:t>
            </w:r>
          </w:p>
        </w:tc>
      </w:tr>
      <w:tr w14:paraId="0056D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32C29D2C">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SNKH</w:t>
            </w:r>
          </w:p>
        </w:tc>
        <w:tc>
          <w:tcPr>
            <w:tcW w:w="7760" w:type="dxa"/>
          </w:tcPr>
          <w:p w14:paraId="6F147EF1">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Sự nghiệp Khoa học (nguồn ngân sách)</w:t>
            </w:r>
          </w:p>
        </w:tc>
      </w:tr>
      <w:tr w14:paraId="742C3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1F24839B">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TFP</w:t>
            </w:r>
          </w:p>
        </w:tc>
        <w:tc>
          <w:tcPr>
            <w:tcW w:w="7760" w:type="dxa"/>
          </w:tcPr>
          <w:p w14:paraId="56D994BF">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Total Factor Productivity – Năng suất nhân tố tổng hợp</w:t>
            </w:r>
          </w:p>
        </w:tc>
      </w:tr>
      <w:tr w14:paraId="5F05E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5F5B3592">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TP</w:t>
            </w:r>
          </w:p>
        </w:tc>
        <w:tc>
          <w:tcPr>
            <w:tcW w:w="7760" w:type="dxa"/>
          </w:tcPr>
          <w:p w14:paraId="492301B9">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Thành phố</w:t>
            </w:r>
          </w:p>
        </w:tc>
      </w:tr>
      <w:tr w14:paraId="72DD1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0194B103">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TW</w:t>
            </w:r>
          </w:p>
        </w:tc>
        <w:tc>
          <w:tcPr>
            <w:tcW w:w="7760" w:type="dxa"/>
          </w:tcPr>
          <w:p w14:paraId="40575ED0">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Trung ương</w:t>
            </w:r>
          </w:p>
        </w:tc>
      </w:tr>
      <w:tr w14:paraId="65E81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26CECE79">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UBND</w:t>
            </w:r>
          </w:p>
        </w:tc>
        <w:tc>
          <w:tcPr>
            <w:tcW w:w="7760" w:type="dxa"/>
          </w:tcPr>
          <w:p w14:paraId="66D3C98D">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Ủy ban nhân dân</w:t>
            </w:r>
          </w:p>
        </w:tc>
      </w:tr>
      <w:tr w14:paraId="330F1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14FA6213">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USD</w:t>
            </w:r>
          </w:p>
        </w:tc>
        <w:tc>
          <w:tcPr>
            <w:tcW w:w="7760" w:type="dxa"/>
          </w:tcPr>
          <w:p w14:paraId="64913E47">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United States Dollar – Đô la Mỹ</w:t>
            </w:r>
          </w:p>
        </w:tc>
      </w:tr>
      <w:tr w14:paraId="78520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00" w:type="dxa"/>
          </w:tcPr>
          <w:p w14:paraId="663E3F27">
            <w:pPr>
              <w:spacing w:before="60" w:line="276"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VR</w:t>
            </w:r>
          </w:p>
        </w:tc>
        <w:tc>
          <w:tcPr>
            <w:tcW w:w="7760" w:type="dxa"/>
          </w:tcPr>
          <w:p w14:paraId="7D09B42C">
            <w:pPr>
              <w:spacing w:before="60"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Virtual Reality – Thực tế ảo</w:t>
            </w:r>
          </w:p>
        </w:tc>
      </w:tr>
    </w:tbl>
    <w:p w14:paraId="7E4717F5">
      <w:pPr>
        <w:rPr>
          <w:color w:val="000000" w:themeColor="text1"/>
          <w:sz w:val="26"/>
          <w:szCs w:val="26"/>
          <w14:textFill>
            <w14:solidFill>
              <w14:schemeClr w14:val="tx1"/>
            </w14:solidFill>
          </w14:textFill>
        </w:rPr>
      </w:pPr>
    </w:p>
    <w:p w14:paraId="086F0912">
      <w:pPr>
        <w:rPr>
          <w:color w:val="000000" w:themeColor="text1"/>
          <w:sz w:val="26"/>
          <w:szCs w:val="26"/>
          <w14:textFill>
            <w14:solidFill>
              <w14:schemeClr w14:val="tx1"/>
            </w14:solidFill>
          </w14:textFill>
        </w:rPr>
      </w:pPr>
    </w:p>
    <w:p w14:paraId="26BB9CC8">
      <w:pPr>
        <w:jc w:val="center"/>
        <w:rPr>
          <w:b/>
          <w:bCs/>
          <w:color w:val="000000" w:themeColor="text1"/>
          <w:sz w:val="26"/>
          <w:szCs w:val="26"/>
          <w:lang w:val="en-GB"/>
          <w14:textFill>
            <w14:solidFill>
              <w14:schemeClr w14:val="tx1"/>
            </w14:solidFill>
          </w14:textFill>
        </w:rPr>
      </w:pPr>
      <w:r>
        <w:rPr>
          <w:b/>
          <w:bCs/>
          <w:color w:val="000000" w:themeColor="text1"/>
          <w:sz w:val="26"/>
          <w:szCs w:val="26"/>
          <w:lang w:val="en-GB"/>
          <w14:textFill>
            <w14:solidFill>
              <w14:schemeClr w14:val="tx1"/>
            </w14:solidFill>
          </w14:textFill>
        </w:rPr>
        <w:t>DANH SÁCH THUẬT NGỮ</w:t>
      </w:r>
    </w:p>
    <w:tbl>
      <w:tblPr>
        <w:tblStyle w:val="26"/>
        <w:tblW w:w="9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4"/>
        <w:gridCol w:w="6289"/>
      </w:tblGrid>
      <w:tr w14:paraId="671B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3084" w:type="dxa"/>
            <w:vAlign w:val="center"/>
          </w:tcPr>
          <w:p w14:paraId="067A62B3">
            <w:pPr>
              <w:jc w:val="center"/>
              <w:rPr>
                <w:b/>
                <w:bCs/>
                <w:color w:val="000000" w:themeColor="text1"/>
                <w:sz w:val="26"/>
                <w:szCs w:val="26"/>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Thuật ngữ</w:t>
            </w:r>
          </w:p>
        </w:tc>
        <w:tc>
          <w:tcPr>
            <w:tcW w:w="6289" w:type="dxa"/>
            <w:vAlign w:val="center"/>
          </w:tcPr>
          <w:p w14:paraId="20292FCA">
            <w:pPr>
              <w:jc w:val="center"/>
              <w:rPr>
                <w:b/>
                <w:bCs/>
                <w:color w:val="000000" w:themeColor="text1"/>
                <w:sz w:val="26"/>
                <w:szCs w:val="26"/>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Giải thích</w:t>
            </w:r>
          </w:p>
        </w:tc>
      </w:tr>
      <w:tr w14:paraId="1EC7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4" w:type="dxa"/>
            <w:vAlign w:val="center"/>
          </w:tcPr>
          <w:p w14:paraId="1879B0DB">
            <w:pPr>
              <w:jc w:val="left"/>
              <w:rPr>
                <w:color w:val="000000" w:themeColor="text1"/>
                <w:sz w:val="26"/>
                <w:szCs w:val="26"/>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Innovation Hub</w:t>
            </w:r>
          </w:p>
        </w:tc>
        <w:tc>
          <w:tcPr>
            <w:tcW w:w="6289" w:type="dxa"/>
            <w:vAlign w:val="center"/>
          </w:tcPr>
          <w:p w14:paraId="0F828F7D">
            <w:pPr>
              <w:jc w:val="left"/>
              <w:rPr>
                <w:color w:val="000000" w:themeColor="text1"/>
                <w:sz w:val="26"/>
                <w:szCs w:val="26"/>
                <w:lang w:val="en-GB"/>
                <w14:textFill>
                  <w14:solidFill>
                    <w14:schemeClr w14:val="tx1"/>
                  </w14:solidFill>
                </w14:textFill>
              </w:rPr>
            </w:pPr>
            <w:r>
              <w:rPr>
                <w:rFonts w:eastAsia="SimSun"/>
                <w:color w:val="000000" w:themeColor="text1"/>
                <w:sz w:val="26"/>
                <w:szCs w:val="26"/>
                <w:lang w:val="en-GB" w:eastAsia="zh-CN" w:bidi="ar"/>
                <w14:textFill>
                  <w14:solidFill>
                    <w14:schemeClr w14:val="tx1"/>
                  </w14:solidFill>
                </w14:textFill>
              </w:rPr>
              <w:t>Trạm</w:t>
            </w:r>
            <w:r>
              <w:rPr>
                <w:rFonts w:eastAsia="SimSun"/>
                <w:color w:val="000000" w:themeColor="text1"/>
                <w:sz w:val="26"/>
                <w:szCs w:val="26"/>
                <w:lang w:val="en-US" w:eastAsia="zh-CN" w:bidi="ar"/>
                <w14:textFill>
                  <w14:solidFill>
                    <w14:schemeClr w14:val="tx1"/>
                  </w14:solidFill>
                </w14:textFill>
              </w:rPr>
              <w:t xml:space="preserve"> </w:t>
            </w:r>
            <w:r>
              <w:rPr>
                <w:rFonts w:eastAsia="SimSun"/>
                <w:color w:val="000000" w:themeColor="text1"/>
                <w:sz w:val="26"/>
                <w:szCs w:val="26"/>
                <w:lang w:val="en-GB" w:eastAsia="zh-CN" w:bidi="ar"/>
                <w14:textFill>
                  <w14:solidFill>
                    <w14:schemeClr w14:val="tx1"/>
                  </w14:solidFill>
                </w14:textFill>
              </w:rPr>
              <w:t>đổi mới sáng tạo</w:t>
            </w:r>
          </w:p>
        </w:tc>
      </w:tr>
      <w:tr w14:paraId="6855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4" w:type="dxa"/>
            <w:vAlign w:val="center"/>
          </w:tcPr>
          <w:p w14:paraId="61791958">
            <w:pPr>
              <w:jc w:val="left"/>
              <w:rPr>
                <w:color w:val="000000" w:themeColor="text1"/>
                <w:sz w:val="26"/>
                <w:szCs w:val="26"/>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Accelerator</w:t>
            </w:r>
          </w:p>
        </w:tc>
        <w:tc>
          <w:tcPr>
            <w:tcW w:w="6289" w:type="dxa"/>
            <w:vAlign w:val="center"/>
          </w:tcPr>
          <w:p w14:paraId="7DCE2459">
            <w:pPr>
              <w:jc w:val="left"/>
              <w:rPr>
                <w:color w:val="000000" w:themeColor="text1"/>
                <w:sz w:val="26"/>
                <w:szCs w:val="26"/>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Tổ chức thúc đẩy kinh doanh</w:t>
            </w:r>
          </w:p>
        </w:tc>
      </w:tr>
      <w:tr w14:paraId="57DF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4" w:type="dxa"/>
            <w:vAlign w:val="center"/>
          </w:tcPr>
          <w:p w14:paraId="31352C50">
            <w:pPr>
              <w:jc w:val="left"/>
              <w:rPr>
                <w:color w:val="000000" w:themeColor="text1"/>
                <w:sz w:val="26"/>
                <w:szCs w:val="26"/>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Sandbox</w:t>
            </w:r>
          </w:p>
        </w:tc>
        <w:tc>
          <w:tcPr>
            <w:tcW w:w="6289" w:type="dxa"/>
            <w:vAlign w:val="center"/>
          </w:tcPr>
          <w:p w14:paraId="5FF1BCA5">
            <w:pPr>
              <w:jc w:val="left"/>
              <w:rPr>
                <w:color w:val="000000" w:themeColor="text1"/>
                <w:sz w:val="26"/>
                <w:szCs w:val="26"/>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Cơ chế thử nghiệm có kiểm soát</w:t>
            </w:r>
          </w:p>
        </w:tc>
      </w:tr>
      <w:tr w14:paraId="0862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4" w:type="dxa"/>
            <w:vAlign w:val="center"/>
          </w:tcPr>
          <w:p w14:paraId="210FD5B8">
            <w:pPr>
              <w:jc w:val="left"/>
              <w:rPr>
                <w:color w:val="000000" w:themeColor="text1"/>
                <w:sz w:val="26"/>
                <w:szCs w:val="26"/>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Innovation Port</w:t>
            </w:r>
          </w:p>
        </w:tc>
        <w:tc>
          <w:tcPr>
            <w:tcW w:w="6289" w:type="dxa"/>
            <w:vAlign w:val="center"/>
          </w:tcPr>
          <w:p w14:paraId="7786C5E3">
            <w:pPr>
              <w:jc w:val="left"/>
              <w:rPr>
                <w:color w:val="000000" w:themeColor="text1"/>
                <w:sz w:val="26"/>
                <w:szCs w:val="26"/>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Nền tảng số quản trị hệ sinh thái ĐMST</w:t>
            </w:r>
          </w:p>
        </w:tc>
      </w:tr>
      <w:tr w14:paraId="362C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4" w:type="dxa"/>
            <w:vAlign w:val="center"/>
          </w:tcPr>
          <w:p w14:paraId="487C39A6">
            <w:pPr>
              <w:jc w:val="left"/>
              <w:rPr>
                <w:color w:val="000000" w:themeColor="text1"/>
                <w:sz w:val="26"/>
                <w:szCs w:val="26"/>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Mentor</w:t>
            </w:r>
          </w:p>
        </w:tc>
        <w:tc>
          <w:tcPr>
            <w:tcW w:w="6289" w:type="dxa"/>
            <w:vAlign w:val="center"/>
          </w:tcPr>
          <w:p w14:paraId="60BC62EE">
            <w:pPr>
              <w:jc w:val="left"/>
              <w:rPr>
                <w:rFonts w:eastAsia="SimSun"/>
                <w:color w:val="000000" w:themeColor="text1"/>
                <w:sz w:val="26"/>
                <w:szCs w:val="26"/>
                <w:lang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Chuyên gia cố vấn</w:t>
            </w:r>
          </w:p>
        </w:tc>
      </w:tr>
      <w:tr w14:paraId="2199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4" w:type="dxa"/>
            <w:vAlign w:val="center"/>
          </w:tcPr>
          <w:p w14:paraId="569BB5BF">
            <w:pPr>
              <w:jc w:val="left"/>
              <w:rPr>
                <w:rFonts w:eastAsia="SimSun"/>
                <w:color w:val="000000" w:themeColor="text1"/>
                <w:sz w:val="26"/>
                <w:szCs w:val="26"/>
                <w:lang w:val="en-GB" w:eastAsia="zh-CN" w:bidi="ar"/>
                <w14:textFill>
                  <w14:solidFill>
                    <w14:schemeClr w14:val="tx1"/>
                  </w14:solidFill>
                </w14:textFill>
              </w:rPr>
            </w:pPr>
            <w:r>
              <w:rPr>
                <w:rFonts w:eastAsia="SimSun"/>
                <w:color w:val="000000" w:themeColor="text1"/>
                <w:sz w:val="26"/>
                <w:szCs w:val="26"/>
                <w:lang w:val="en-GB" w:eastAsia="zh-CN" w:bidi="ar"/>
                <w14:textFill>
                  <w14:solidFill>
                    <w14:schemeClr w14:val="tx1"/>
                  </w14:solidFill>
                </w14:textFill>
              </w:rPr>
              <w:t>Startup</w:t>
            </w:r>
          </w:p>
        </w:tc>
        <w:tc>
          <w:tcPr>
            <w:tcW w:w="6289" w:type="dxa"/>
            <w:vAlign w:val="center"/>
          </w:tcPr>
          <w:p w14:paraId="2E983E46">
            <w:pPr>
              <w:jc w:val="left"/>
              <w:rPr>
                <w:rFonts w:eastAsia="SimSun"/>
                <w:color w:val="000000" w:themeColor="text1"/>
                <w:sz w:val="26"/>
                <w:szCs w:val="26"/>
                <w:lang w:val="en-GB" w:eastAsia="zh-CN" w:bidi="ar"/>
                <w14:textFill>
                  <w14:solidFill>
                    <w14:schemeClr w14:val="tx1"/>
                  </w14:solidFill>
                </w14:textFill>
              </w:rPr>
            </w:pPr>
            <w:r>
              <w:rPr>
                <w:rFonts w:eastAsia="SimSun"/>
                <w:color w:val="000000" w:themeColor="text1"/>
                <w:sz w:val="26"/>
                <w:szCs w:val="26"/>
                <w:lang w:val="en-GB" w:eastAsia="zh-CN" w:bidi="ar"/>
                <w14:textFill>
                  <w14:solidFill>
                    <w14:schemeClr w14:val="tx1"/>
                  </w14:solidFill>
                </w14:textFill>
              </w:rPr>
              <w:t>Doanh nghiệp khởi nghiệp sáng tạo</w:t>
            </w:r>
          </w:p>
        </w:tc>
      </w:tr>
    </w:tbl>
    <w:p w14:paraId="24776C83">
      <w:pPr>
        <w:rPr>
          <w:b/>
          <w:b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br w:type="page"/>
      </w:r>
    </w:p>
    <w:p w14:paraId="148A99AF">
      <w:pPr>
        <w:widowControl w:val="0"/>
        <w:spacing w:before="144" w:after="160" w:line="312" w:lineRule="auto"/>
        <w:jc w:val="center"/>
        <w:rPr>
          <w:b/>
          <w:b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MỤC LỤC</w:t>
      </w:r>
    </w:p>
    <w:sdt>
      <w:sdtPr>
        <w:rPr>
          <w:color w:val="000000" w:themeColor="text1"/>
          <w:sz w:val="26"/>
          <w:szCs w:val="26"/>
          <w14:textFill>
            <w14:solidFill>
              <w14:schemeClr w14:val="tx1"/>
            </w14:solidFill>
          </w14:textFill>
        </w:rPr>
        <w:id w:val="-355299054"/>
        <w:docPartObj>
          <w:docPartGallery w:val="Table of Contents"/>
          <w:docPartUnique/>
        </w:docPartObj>
      </w:sdtPr>
      <w:sdtEndPr>
        <w:rPr>
          <w:color w:val="000000" w:themeColor="text1"/>
          <w:sz w:val="26"/>
          <w:szCs w:val="26"/>
          <w14:textFill>
            <w14:solidFill>
              <w14:schemeClr w14:val="tx1"/>
            </w14:solidFill>
          </w14:textFill>
        </w:rPr>
      </w:sdtEndPr>
      <w:sdtContent>
        <w:p w14:paraId="3B3F75D7">
          <w:pPr>
            <w:pStyle w:val="28"/>
            <w:tabs>
              <w:tab w:val="right" w:leader="dot" w:pos="8990"/>
            </w:tabs>
            <w:rPr>
              <w:rFonts w:asciiTheme="minorHAnsi" w:hAnsiTheme="minorHAnsi" w:eastAsiaTheme="minorEastAsia" w:cstheme="minorBidi"/>
              <w:b w:val="0"/>
              <w:kern w:val="2"/>
              <w:lang w:val="zh-CN" w:eastAsia="ja-JP"/>
              <w14:ligatures w14:val="standardContextual"/>
            </w:rPr>
          </w:pPr>
          <w:r>
            <w:rPr>
              <w:color w:val="000000" w:themeColor="text1"/>
              <w:sz w:val="26"/>
              <w:szCs w:val="26"/>
              <w14:textFill>
                <w14:solidFill>
                  <w14:schemeClr w14:val="tx1"/>
                </w14:solidFill>
              </w14:textFill>
            </w:rPr>
            <w:fldChar w:fldCharType="begin"/>
          </w:r>
          <w:r>
            <w:rPr>
              <w:color w:val="000000" w:themeColor="text1"/>
              <w:sz w:val="26"/>
              <w:szCs w:val="26"/>
              <w14:textFill>
                <w14:solidFill>
                  <w14:schemeClr w14:val="tx1"/>
                </w14:solidFill>
              </w14:textFill>
            </w:rPr>
            <w:instrText xml:space="preserve"> TOC \o "1-4" \h \z \u </w:instrText>
          </w:r>
          <w:r>
            <w:rPr>
              <w:color w:val="000000" w:themeColor="text1"/>
              <w:sz w:val="26"/>
              <w:szCs w:val="26"/>
              <w14:textFill>
                <w14:solidFill>
                  <w14:schemeClr w14:val="tx1"/>
                </w14:solidFill>
              </w14:textFill>
            </w:rPr>
            <w:fldChar w:fldCharType="separate"/>
          </w:r>
          <w:r>
            <w:fldChar w:fldCharType="begin"/>
          </w:r>
          <w:r>
            <w:instrText xml:space="preserve"> HYPERLINK \l "_Toc233183596" </w:instrText>
          </w:r>
          <w:r>
            <w:fldChar w:fldCharType="separate"/>
          </w:r>
          <w:r>
            <w:rPr>
              <w:rStyle w:val="21"/>
              <w:lang w:val="en-US"/>
            </w:rPr>
            <w:t>PHẦN I – SỰ CẦN THIẾT VÀ CƠ SỞ PHÁP LÝ</w:t>
          </w:r>
          <w:r>
            <w:tab/>
          </w:r>
          <w:r>
            <w:fldChar w:fldCharType="begin"/>
          </w:r>
          <w:r>
            <w:instrText xml:space="preserve"> PAGEREF _Toc233183596 \h </w:instrText>
          </w:r>
          <w:r>
            <w:fldChar w:fldCharType="separate"/>
          </w:r>
          <w:r>
            <w:t>9</w:t>
          </w:r>
          <w:r>
            <w:fldChar w:fldCharType="end"/>
          </w:r>
          <w:r>
            <w:fldChar w:fldCharType="end"/>
          </w:r>
        </w:p>
        <w:p w14:paraId="0C9899D7">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"_Toc233183597" </w:instrText>
          </w:r>
          <w:r>
            <w:fldChar w:fldCharType="separate"/>
          </w:r>
          <w:r>
            <w:rPr>
              <w:rStyle w:val="21"/>
            </w:rPr>
            <w:t>I. SỰ CẦN THIẾT XÂY DỰNG ĐỀ ÁN</w:t>
          </w:r>
          <w:r>
            <w:tab/>
          </w:r>
          <w:r>
            <w:fldChar w:fldCharType="begin"/>
          </w:r>
          <w:r>
            <w:instrText xml:space="preserve"> PAGEREF _Toc233183597 \h </w:instrText>
          </w:r>
          <w:r>
            <w:fldChar w:fldCharType="separate"/>
          </w:r>
          <w:r>
            <w:t>9</w:t>
          </w:r>
          <w:r>
            <w:fldChar w:fldCharType="end"/>
          </w:r>
          <w:r>
            <w:fldChar w:fldCharType="end"/>
          </w:r>
        </w:p>
        <w:p w14:paraId="555293B0">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"_Toc233183598" </w:instrText>
          </w:r>
          <w:r>
            <w:fldChar w:fldCharType="separate"/>
          </w:r>
          <w:r>
            <w:rPr>
              <w:rStyle w:val="21"/>
            </w:rPr>
            <w:t>II. CƠ SỞ PHÁP LÝ</w:t>
          </w:r>
          <w:r>
            <w:tab/>
          </w:r>
          <w:r>
            <w:fldChar w:fldCharType="begin"/>
          </w:r>
          <w:r>
            <w:instrText xml:space="preserve"> PAGEREF _Toc233183598 \h </w:instrText>
          </w:r>
          <w:r>
            <w:fldChar w:fldCharType="separate"/>
          </w:r>
          <w:r>
            <w:t>10</w:t>
          </w:r>
          <w:r>
            <w:fldChar w:fldCharType="end"/>
          </w:r>
          <w:r>
            <w:fldChar w:fldCharType="end"/>
          </w:r>
        </w:p>
        <w:p w14:paraId="5BF8A4D2">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"_Toc233183599" </w:instrText>
          </w:r>
          <w:r>
            <w:fldChar w:fldCharType="separate"/>
          </w:r>
          <w:r>
            <w:rPr>
              <w:rStyle w:val="21"/>
            </w:rPr>
            <w:t>2.1. Văn bản Trung ương</w:t>
          </w:r>
          <w:r>
            <w:tab/>
          </w:r>
          <w:r>
            <w:fldChar w:fldCharType="begin"/>
          </w:r>
          <w:r>
            <w:instrText xml:space="preserve"> PAGEREF _Toc233183599 \h </w:instrText>
          </w:r>
          <w:r>
            <w:fldChar w:fldCharType="separate"/>
          </w:r>
          <w:r>
            <w:t>10</w:t>
          </w:r>
          <w:r>
            <w:fldChar w:fldCharType="end"/>
          </w:r>
          <w:r>
            <w:fldChar w:fldCharType="end"/>
          </w:r>
        </w:p>
        <w:p w14:paraId="6CD7FCFB">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"_Toc233183600" </w:instrText>
          </w:r>
          <w:r>
            <w:fldChar w:fldCharType="separate"/>
          </w:r>
          <w:r>
            <w:rPr>
              <w:rStyle w:val="21"/>
            </w:rPr>
            <w:t>2.2. Văn bản địa phương</w:t>
          </w:r>
          <w:r>
            <w:tab/>
          </w:r>
          <w:r>
            <w:fldChar w:fldCharType="begin"/>
          </w:r>
          <w:r>
            <w:instrText xml:space="preserve"> PAGEREF _Toc233183600 \h </w:instrText>
          </w:r>
          <w:r>
            <w:fldChar w:fldCharType="separate"/>
          </w:r>
          <w:r>
            <w:t>13</w:t>
          </w:r>
          <w:r>
            <w:fldChar w:fldCharType="end"/>
          </w:r>
          <w:r>
            <w:fldChar w:fldCharType="end"/>
          </w:r>
        </w:p>
        <w:p w14:paraId="35110A37">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"_Toc233183601" </w:instrText>
          </w:r>
          <w:r>
            <w:fldChar w:fldCharType="separate"/>
          </w:r>
          <w:r>
            <w:rPr>
              <w:rStyle w:val="21"/>
            </w:rPr>
            <w:t>III. PHẠM VI, ĐỐI TƯỢNG CỦA ĐỀ ÁN</w:t>
          </w:r>
          <w:r>
            <w:tab/>
          </w:r>
          <w:r>
            <w:fldChar w:fldCharType="begin"/>
          </w:r>
          <w:r>
            <w:instrText xml:space="preserve"> PAGEREF _Toc233183601 \h </w:instrText>
          </w:r>
          <w:r>
            <w:fldChar w:fldCharType="separate"/>
          </w:r>
          <w:r>
            <w:t>14</w:t>
          </w:r>
          <w:r>
            <w:fldChar w:fldCharType="end"/>
          </w:r>
          <w:r>
            <w:fldChar w:fldCharType="end"/>
          </w:r>
        </w:p>
        <w:p w14:paraId="69C1C282">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"_Toc233183602" </w:instrText>
          </w:r>
          <w:r>
            <w:fldChar w:fldCharType="separate"/>
          </w:r>
          <w:r>
            <w:rPr>
              <w:rStyle w:val="21"/>
            </w:rPr>
            <w:t>3.1. Phạm vi áp dụng:</w:t>
          </w:r>
          <w:r>
            <w:tab/>
          </w:r>
          <w:r>
            <w:fldChar w:fldCharType="begin"/>
          </w:r>
          <w:r>
            <w:instrText xml:space="preserve"> PAGEREF _Toc233183602 \h </w:instrText>
          </w:r>
          <w:r>
            <w:fldChar w:fldCharType="separate"/>
          </w:r>
          <w:r>
            <w:t>14</w:t>
          </w:r>
          <w:r>
            <w:fldChar w:fldCharType="end"/>
          </w:r>
          <w:r>
            <w:fldChar w:fldCharType="end"/>
          </w:r>
        </w:p>
        <w:p w14:paraId="494FEFF5">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"_Toc233183603" </w:instrText>
          </w:r>
          <w:r>
            <w:fldChar w:fldCharType="separate"/>
          </w:r>
          <w:r>
            <w:rPr>
              <w:rStyle w:val="21"/>
            </w:rPr>
            <w:t>3.2. Đối tượng áp dụng:</w:t>
          </w:r>
          <w:r>
            <w:tab/>
          </w:r>
          <w:r>
            <w:fldChar w:fldCharType="begin"/>
          </w:r>
          <w:r>
            <w:instrText xml:space="preserve"> PAGEREF _Toc233183603 \h </w:instrText>
          </w:r>
          <w:r>
            <w:fldChar w:fldCharType="separate"/>
          </w:r>
          <w:r>
            <w:t>14</w:t>
          </w:r>
          <w:r>
            <w:fldChar w:fldCharType="end"/>
          </w:r>
          <w:r>
            <w:fldChar w:fldCharType="end"/>
          </w:r>
        </w:p>
        <w:p w14:paraId="1AB57813">
          <w:pPr>
            <w:pStyle w:val="28"/>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"_Toc233183604" </w:instrText>
          </w:r>
          <w:r>
            <w:fldChar w:fldCharType="separate"/>
          </w:r>
          <w:r>
            <w:rPr>
              <w:rStyle w:val="21"/>
              <w:lang w:val="vi-VN"/>
            </w:rPr>
            <w:t>PHẦN II – BỐI CẢNH VÀ KINH NGHIỆM THỰC TẾ</w:t>
          </w:r>
          <w:r>
            <w:tab/>
          </w:r>
          <w:r>
            <w:fldChar w:fldCharType="begin"/>
          </w:r>
          <w:r>
            <w:instrText xml:space="preserve"> PAGEREF _Toc233183604 \h </w:instrText>
          </w:r>
          <w:r>
            <w:fldChar w:fldCharType="separate"/>
          </w:r>
          <w:r>
            <w:t>14</w:t>
          </w:r>
          <w:r>
            <w:fldChar w:fldCharType="end"/>
          </w:r>
          <w:r>
            <w:fldChar w:fldCharType="end"/>
          </w:r>
        </w:p>
        <w:p w14:paraId="3ECC4439">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"_Toc233183605" </w:instrText>
          </w:r>
          <w:r>
            <w:fldChar w:fldCharType="separate"/>
          </w:r>
          <w:r>
            <w:rPr>
              <w:rStyle w:val="21"/>
            </w:rPr>
            <w:t>I. BỐI CẢNH QUỐC TẾ VÀ TRONG NƯỚC</w:t>
          </w:r>
          <w:r>
            <w:tab/>
          </w:r>
          <w:r>
            <w:fldChar w:fldCharType="begin"/>
          </w:r>
          <w:r>
            <w:instrText xml:space="preserve"> PAGEREF _Toc233183605 \h </w:instrText>
          </w:r>
          <w:r>
            <w:fldChar w:fldCharType="separate"/>
          </w:r>
          <w:r>
            <w:t>14</w:t>
          </w:r>
          <w:r>
            <w:fldChar w:fldCharType="end"/>
          </w:r>
          <w:r>
            <w:fldChar w:fldCharType="end"/>
          </w:r>
        </w:p>
        <w:p w14:paraId="3D6217F2">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"_Toc233183606" </w:instrText>
          </w:r>
          <w:r>
            <w:fldChar w:fldCharType="separate"/>
          </w:r>
          <w:r>
            <w:rPr>
              <w:rStyle w:val="21"/>
            </w:rPr>
            <w:t>1.1. Bối cảnh quốc tế về sự phát triển của hệ sinh thái ĐMST cấp vùng</w:t>
          </w:r>
          <w:r>
            <w:tab/>
          </w:r>
          <w:r>
            <w:fldChar w:fldCharType="begin"/>
          </w:r>
          <w:r>
            <w:instrText xml:space="preserve"> PAGEREF _Toc233183606 \h </w:instrText>
          </w:r>
          <w:r>
            <w:fldChar w:fldCharType="separate"/>
          </w:r>
          <w:r>
            <w:t>14</w:t>
          </w:r>
          <w:r>
            <w:fldChar w:fldCharType="end"/>
          </w:r>
          <w:r>
            <w:fldChar w:fldCharType="end"/>
          </w:r>
        </w:p>
        <w:p w14:paraId="773D8590">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"_Toc233183607" </w:instrText>
          </w:r>
          <w:r>
            <w:fldChar w:fldCharType="separate"/>
          </w:r>
          <w:r>
            <w:rPr>
              <w:rStyle w:val="21"/>
            </w:rPr>
            <w:t>1.2. Bối cảnh trong nước về sự phát triển của hệ sinh thái ĐMST</w:t>
          </w:r>
          <w:r>
            <w:tab/>
          </w:r>
          <w:r>
            <w:fldChar w:fldCharType="begin"/>
          </w:r>
          <w:r>
            <w:instrText xml:space="preserve"> PAGEREF _Toc233183607 \h </w:instrText>
          </w:r>
          <w:r>
            <w:fldChar w:fldCharType="separate"/>
          </w:r>
          <w:r>
            <w:t>16</w:t>
          </w:r>
          <w:r>
            <w:fldChar w:fldCharType="end"/>
          </w:r>
          <w:r>
            <w:fldChar w:fldCharType="end"/>
          </w:r>
        </w:p>
        <w:p w14:paraId="0E39DFAC">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"_Toc233183608" </w:instrText>
          </w:r>
          <w:r>
            <w:fldChar w:fldCharType="separate"/>
          </w:r>
          <w:r>
            <w:rPr>
              <w:rStyle w:val="21"/>
            </w:rPr>
            <w:t xml:space="preserve">II. KINH NGHIỆM PHÁT TRIỂN HỆ SINH THÁI </w:t>
          </w:r>
          <w:r>
            <w:rPr>
              <w:rStyle w:val="21"/>
              <w:lang w:val="en-GB"/>
            </w:rPr>
            <w:t>ĐMST</w:t>
          </w:r>
          <w:r>
            <w:rPr>
              <w:rStyle w:val="21"/>
            </w:rPr>
            <w:t xml:space="preserve"> TẠI CÁC ĐỊA PHƯƠNG</w:t>
          </w:r>
          <w:r>
            <w:tab/>
          </w:r>
          <w:r>
            <w:fldChar w:fldCharType="begin"/>
          </w:r>
          <w:r>
            <w:instrText xml:space="preserve"> PAGEREF _Toc233183608 \h </w:instrText>
          </w:r>
          <w:r>
            <w:fldChar w:fldCharType="separate"/>
          </w:r>
          <w:r>
            <w:t>20</w:t>
          </w:r>
          <w:r>
            <w:fldChar w:fldCharType="end"/>
          </w:r>
          <w:r>
            <w:fldChar w:fldCharType="end"/>
          </w:r>
        </w:p>
        <w:p w14:paraId="5D4694C9">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"_Toc233183609" </w:instrText>
          </w:r>
          <w:r>
            <w:fldChar w:fldCharType="separate"/>
          </w:r>
          <w:r>
            <w:rPr>
              <w:rStyle w:val="21"/>
            </w:rPr>
            <w:t>2.1. Kinh nghiệm phát triển hệ sinh thái ĐMST tại các địa phương</w:t>
          </w:r>
          <w:r>
            <w:tab/>
          </w:r>
          <w:r>
            <w:fldChar w:fldCharType="begin"/>
          </w:r>
          <w:r>
            <w:instrText xml:space="preserve"> PAGEREF _Toc233183609 \h </w:instrText>
          </w:r>
          <w:r>
            <w:fldChar w:fldCharType="separate"/>
          </w:r>
          <w:r>
            <w:t>20</w:t>
          </w:r>
          <w:r>
            <w:fldChar w:fldCharType="end"/>
          </w:r>
          <w:r>
            <w:fldChar w:fldCharType="end"/>
          </w:r>
        </w:p>
        <w:p w14:paraId="77C6D1E9">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"_Toc233183610" </w:instrText>
          </w:r>
          <w:r>
            <w:fldChar w:fldCharType="separate"/>
          </w:r>
          <w:r>
            <w:rPr>
              <w:rStyle w:val="21"/>
            </w:rPr>
            <w:t>2.2. Nhận xét chung về phát triển hệ sinh thái ĐMST tại các địa phương</w:t>
          </w:r>
          <w:r>
            <w:tab/>
          </w:r>
          <w:r>
            <w:fldChar w:fldCharType="begin"/>
          </w:r>
          <w:r>
            <w:instrText xml:space="preserve"> PAGEREF _Toc233183610 \h </w:instrText>
          </w:r>
          <w:r>
            <w:fldChar w:fldCharType="separate"/>
          </w:r>
          <w:r>
            <w:t>24</w:t>
          </w:r>
          <w:r>
            <w:fldChar w:fldCharType="end"/>
          </w:r>
          <w:r>
            <w:fldChar w:fldCharType="end"/>
          </w:r>
        </w:p>
        <w:p w14:paraId="216FD141">
          <w:pPr>
            <w:pStyle w:val="28"/>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"_Toc233183611" </w:instrText>
          </w:r>
          <w:r>
            <w:fldChar w:fldCharType="separate"/>
          </w:r>
          <w:r>
            <w:rPr>
              <w:rStyle w:val="21"/>
              <w:spacing w:val="-6"/>
              <w:lang w:val="vi-VN"/>
            </w:rPr>
            <w:t>PHẦN III</w:t>
          </w:r>
          <w:r>
            <w:rPr>
              <w:rStyle w:val="21"/>
              <w:lang w:val="vi-VN"/>
            </w:rPr>
            <w:t xml:space="preserve"> – </w:t>
          </w:r>
          <w:r>
            <w:rPr>
              <w:rStyle w:val="21"/>
              <w:spacing w:val="-6"/>
              <w:lang w:val="vi-VN"/>
            </w:rPr>
            <w:t>THỰC TRẠNG VÀ TIỀM NĂNG PHÁT TRIỂN HỆ SINH THÁI ĐMST TỈNH NINH BÌNH</w:t>
          </w:r>
          <w:r>
            <w:tab/>
          </w:r>
          <w:r>
            <w:fldChar w:fldCharType="begin"/>
          </w:r>
          <w:r>
            <w:instrText xml:space="preserve"> PAGEREF _Toc233183611 \h </w:instrText>
          </w:r>
          <w:r>
            <w:fldChar w:fldCharType="separate"/>
          </w:r>
          <w:r>
            <w:t>26</w:t>
          </w:r>
          <w:r>
            <w:fldChar w:fldCharType="end"/>
          </w:r>
          <w:r>
            <w:fldChar w:fldCharType="end"/>
          </w:r>
        </w:p>
        <w:p w14:paraId="59BB7CF5">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"_Toc233183612" </w:instrText>
          </w:r>
          <w:r>
            <w:fldChar w:fldCharType="separate"/>
          </w:r>
          <w:r>
            <w:rPr>
              <w:rStyle w:val="21"/>
            </w:rPr>
            <w:t>I. TỔNG QUAN VỀ ĐIỀU KIỆN TỰ NHIÊN, KINH TẾ - XÃ HỘI TỈNH NINH BÌNH</w:t>
          </w:r>
          <w:r>
            <w:tab/>
          </w:r>
          <w:r>
            <w:fldChar w:fldCharType="begin"/>
          </w:r>
          <w:r>
            <w:instrText xml:space="preserve"> PAGEREF _Toc233183612 \h </w:instrText>
          </w:r>
          <w:r>
            <w:fldChar w:fldCharType="separate"/>
          </w:r>
          <w:r>
            <w:t>26</w:t>
          </w:r>
          <w:r>
            <w:fldChar w:fldCharType="end"/>
          </w:r>
          <w:r>
            <w:fldChar w:fldCharType="end"/>
          </w:r>
        </w:p>
        <w:p w14:paraId="08B5B4C0">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"_Toc233183613" </w:instrText>
          </w:r>
          <w:r>
            <w:fldChar w:fldCharType="separate"/>
          </w:r>
          <w:r>
            <w:rPr>
              <w:rStyle w:val="21"/>
            </w:rPr>
            <w:t>1.1. Tăng trưởng kinh tế (GRDP)</w:t>
          </w:r>
          <w:r>
            <w:tab/>
          </w:r>
          <w:r>
            <w:fldChar w:fldCharType="begin"/>
          </w:r>
          <w:r>
            <w:instrText xml:space="preserve"> PAGEREF _Toc233183613 \h </w:instrText>
          </w:r>
          <w:r>
            <w:fldChar w:fldCharType="separate"/>
          </w:r>
          <w:r>
            <w:t>27</w:t>
          </w:r>
          <w:r>
            <w:fldChar w:fldCharType="end"/>
          </w:r>
          <w:r>
            <w:fldChar w:fldCharType="end"/>
          </w:r>
        </w:p>
        <w:p w14:paraId="3DE3D2E3">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"_Toc233183614" </w:instrText>
          </w:r>
          <w:r>
            <w:fldChar w:fldCharType="separate"/>
          </w:r>
          <w:r>
            <w:rPr>
              <w:rStyle w:val="21"/>
            </w:rPr>
            <w:t>1.2. Thu hút đầu tư</w:t>
          </w:r>
          <w:r>
            <w:tab/>
          </w:r>
          <w:r>
            <w:fldChar w:fldCharType="begin"/>
          </w:r>
          <w:r>
            <w:instrText xml:space="preserve"> PAGEREF _Toc233183614 \h </w:instrText>
          </w:r>
          <w:r>
            <w:fldChar w:fldCharType="separate"/>
          </w:r>
          <w:r>
            <w:t>27</w:t>
          </w:r>
          <w:r>
            <w:fldChar w:fldCharType="end"/>
          </w:r>
          <w:r>
            <w:fldChar w:fldCharType="end"/>
          </w:r>
        </w:p>
        <w:p w14:paraId="681E1D96">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"_Toc233183615" </w:instrText>
          </w:r>
          <w:r>
            <w:fldChar w:fldCharType="separate"/>
          </w:r>
          <w:r>
            <w:rPr>
              <w:rStyle w:val="21"/>
            </w:rPr>
            <w:t>1.3. Cơ cấu kinh tế</w:t>
          </w:r>
          <w:r>
            <w:tab/>
          </w:r>
          <w:r>
            <w:fldChar w:fldCharType="begin"/>
          </w:r>
          <w:r>
            <w:instrText xml:space="preserve"> PAGEREF _Toc233183615 \h </w:instrText>
          </w:r>
          <w:r>
            <w:fldChar w:fldCharType="separate"/>
          </w:r>
          <w:r>
            <w:t>28</w:t>
          </w:r>
          <w:r>
            <w:fldChar w:fldCharType="end"/>
          </w:r>
          <w:r>
            <w:fldChar w:fldCharType="end"/>
          </w:r>
        </w:p>
        <w:p w14:paraId="6661FC80">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"_Toc233183616" </w:instrText>
          </w:r>
          <w:r>
            <w:fldChar w:fldCharType="separate"/>
          </w:r>
          <w:r>
            <w:rPr>
              <w:rStyle w:val="21"/>
            </w:rPr>
            <w:t>1.4. Nguồn nhân lực</w:t>
          </w:r>
          <w:r>
            <w:tab/>
          </w:r>
          <w:r>
            <w:fldChar w:fldCharType="begin"/>
          </w:r>
          <w:r>
            <w:instrText xml:space="preserve"> PAGEREF _Toc233183616 \h </w:instrText>
          </w:r>
          <w:r>
            <w:fldChar w:fldCharType="separate"/>
          </w:r>
          <w:r>
            <w:t>28</w:t>
          </w:r>
          <w:r>
            <w:fldChar w:fldCharType="end"/>
          </w:r>
          <w:r>
            <w:fldChar w:fldCharType="end"/>
          </w:r>
        </w:p>
        <w:p w14:paraId="5820A1C0">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"_Toc233183617" </w:instrText>
          </w:r>
          <w:r>
            <w:fldChar w:fldCharType="separate"/>
          </w:r>
          <w:r>
            <w:rPr>
              <w:rStyle w:val="21"/>
            </w:rPr>
            <w:t>1.5. Tiềm năng phát triển hệ sinh thái ĐMST của tỉnh Ninh Bình</w:t>
          </w:r>
          <w:r>
            <w:tab/>
          </w:r>
          <w:r>
            <w:fldChar w:fldCharType="begin"/>
          </w:r>
          <w:r>
            <w:instrText xml:space="preserve"> PAGEREF _Toc233183617 \h </w:instrText>
          </w:r>
          <w:r>
            <w:fldChar w:fldCharType="separate"/>
          </w:r>
          <w:r>
            <w:t>29</w:t>
          </w:r>
          <w:r>
            <w:fldChar w:fldCharType="end"/>
          </w:r>
          <w:r>
            <w:fldChar w:fldCharType="end"/>
          </w:r>
        </w:p>
        <w:p w14:paraId="76EA2820">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"_Toc233183618" </w:instrText>
          </w:r>
          <w:r>
            <w:fldChar w:fldCharType="separate"/>
          </w:r>
          <w:r>
            <w:rPr>
              <w:rStyle w:val="21"/>
            </w:rPr>
            <w:t>1.6. Những hạn chế và khoảng trống phát triển</w:t>
          </w:r>
          <w:r>
            <w:tab/>
          </w:r>
          <w:r>
            <w:fldChar w:fldCharType="begin"/>
          </w:r>
          <w:r>
            <w:instrText xml:space="preserve"> PAGEREF _Toc233183618 \h </w:instrText>
          </w:r>
          <w:r>
            <w:fldChar w:fldCharType="separate"/>
          </w:r>
          <w:r>
            <w:t>31</w:t>
          </w:r>
          <w:r>
            <w:fldChar w:fldCharType="end"/>
          </w:r>
          <w:r>
            <w:fldChar w:fldCharType="end"/>
          </w:r>
        </w:p>
        <w:p w14:paraId="10124A9D">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"_Toc233183619" </w:instrText>
          </w:r>
          <w:r>
            <w:fldChar w:fldCharType="separate"/>
          </w:r>
          <w:r>
            <w:rPr>
              <w:rStyle w:val="21"/>
            </w:rPr>
            <w:t>II. THỰC TRẠNG PHÁT TRIỂN CỦA HỆ SINH THÁI ĐMST TỈNH NINH BÌNH</w:t>
          </w:r>
          <w:r>
            <w:tab/>
          </w:r>
          <w:r>
            <w:fldChar w:fldCharType="begin"/>
          </w:r>
          <w:r>
            <w:instrText xml:space="preserve"> PAGEREF _Toc233183619 \h </w:instrText>
          </w:r>
          <w:r>
            <w:fldChar w:fldCharType="separate"/>
          </w:r>
          <w:r>
            <w:t>31</w:t>
          </w:r>
          <w:r>
            <w:fldChar w:fldCharType="end"/>
          </w:r>
          <w:r>
            <w:fldChar w:fldCharType="end"/>
          </w:r>
        </w:p>
        <w:p w14:paraId="28C52D99">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"_Toc233183620" </w:instrText>
          </w:r>
          <w:r>
            <w:fldChar w:fldCharType="separate"/>
          </w:r>
          <w:r>
            <w:rPr>
              <w:rStyle w:val="21"/>
            </w:rPr>
            <w:t xml:space="preserve">2.1. Thực trạng phát triển của hệ sinh thái </w:t>
          </w:r>
          <w:r>
            <w:rPr>
              <w:rStyle w:val="21"/>
              <w:lang w:val="vi"/>
            </w:rPr>
            <w:t>ĐMST</w:t>
          </w:r>
          <w:r>
            <w:rPr>
              <w:rStyle w:val="21"/>
            </w:rPr>
            <w:t xml:space="preserve"> tỉnh Ninh Bình</w:t>
          </w:r>
          <w:r>
            <w:tab/>
          </w:r>
          <w:r>
            <w:fldChar w:fldCharType="begin"/>
          </w:r>
          <w:r>
            <w:instrText xml:space="preserve"> PAGEREF _Toc233183620 \h </w:instrText>
          </w:r>
          <w:r>
            <w:fldChar w:fldCharType="separate"/>
          </w:r>
          <w:r>
            <w:t>31</w:t>
          </w:r>
          <w:r>
            <w:fldChar w:fldCharType="end"/>
          </w:r>
          <w:r>
            <w:fldChar w:fldCharType="end"/>
          </w:r>
        </w:p>
        <w:p w14:paraId="2F7301C7">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"_Toc233183621" </w:instrText>
          </w:r>
          <w:r>
            <w:fldChar w:fldCharType="separate"/>
          </w:r>
          <w:r>
            <w:rPr>
              <w:rStyle w:val="21"/>
            </w:rPr>
            <w:t>2.2. Kết quả khảo sát doanh nghiệp và hợp tác xã về hoạt động ĐMST</w:t>
          </w:r>
          <w:r>
            <w:tab/>
          </w:r>
          <w:r>
            <w:fldChar w:fldCharType="begin"/>
          </w:r>
          <w:r>
            <w:instrText xml:space="preserve"> PAGEREF _Toc233183621 \h </w:instrText>
          </w:r>
          <w:r>
            <w:fldChar w:fldCharType="separate"/>
          </w:r>
          <w:r>
            <w:t>35</w:t>
          </w:r>
          <w:r>
            <w:fldChar w:fldCharType="end"/>
          </w:r>
          <w:r>
            <w:fldChar w:fldCharType="end"/>
          </w:r>
        </w:p>
        <w:p w14:paraId="6A17F5CC">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"_Toc233183622" </w:instrText>
          </w:r>
          <w:r>
            <w:fldChar w:fldCharType="separate"/>
          </w:r>
          <w:r>
            <w:rPr>
              <w:rStyle w:val="21"/>
            </w:rPr>
            <w:t>2.2.1. Thực trạng hoạt động ĐMST của doanh nghiệp</w:t>
          </w:r>
          <w:r>
            <w:tab/>
          </w:r>
          <w:r>
            <w:fldChar w:fldCharType="begin"/>
          </w:r>
          <w:r>
            <w:instrText xml:space="preserve"> PAGEREF _Toc233183622 \h </w:instrText>
          </w:r>
          <w:r>
            <w:fldChar w:fldCharType="separate"/>
          </w:r>
          <w:r>
            <w:t>35</w:t>
          </w:r>
          <w:r>
            <w:fldChar w:fldCharType="end"/>
          </w:r>
          <w:r>
            <w:fldChar w:fldCharType="end"/>
          </w:r>
        </w:p>
        <w:p w14:paraId="343D9064">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"_Toc233183623" </w:instrText>
          </w:r>
          <w:r>
            <w:fldChar w:fldCharType="separate"/>
          </w:r>
          <w:r>
            <w:rPr>
              <w:rStyle w:val="21"/>
            </w:rPr>
            <w:t>2.2.2. Những rào cản đối với đổi mới sáng tạo</w:t>
          </w:r>
          <w:r>
            <w:tab/>
          </w:r>
          <w:r>
            <w:fldChar w:fldCharType="begin"/>
          </w:r>
          <w:r>
            <w:instrText xml:space="preserve"> PAGEREF _Toc233183623 \h </w:instrText>
          </w:r>
          <w:r>
            <w:fldChar w:fldCharType="separate"/>
          </w:r>
          <w:r>
            <w:t>36</w:t>
          </w:r>
          <w:r>
            <w:fldChar w:fldCharType="end"/>
          </w:r>
          <w:r>
            <w:fldChar w:fldCharType="end"/>
          </w:r>
        </w:p>
        <w:p w14:paraId="38D91AC7">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"_Toc233183624" </w:instrText>
          </w:r>
          <w:r>
            <w:fldChar w:fldCharType="separate"/>
          </w:r>
          <w:r>
            <w:rPr>
              <w:rStyle w:val="21"/>
            </w:rPr>
            <w:t xml:space="preserve">2.2.3. Đánh giá các thành phần của hệ sinh thái </w:t>
          </w:r>
          <w:r>
            <w:rPr>
              <w:rStyle w:val="21"/>
              <w:lang w:val="en-GB"/>
            </w:rPr>
            <w:t>ĐMST</w:t>
          </w:r>
          <w:r>
            <w:tab/>
          </w:r>
          <w:r>
            <w:fldChar w:fldCharType="begin"/>
          </w:r>
          <w:r>
            <w:instrText xml:space="preserve"> PAGEREF _Toc233183624 \h </w:instrText>
          </w:r>
          <w:r>
            <w:fldChar w:fldCharType="separate"/>
          </w:r>
          <w:r>
            <w:t>37</w:t>
          </w:r>
          <w:r>
            <w:fldChar w:fldCharType="end"/>
          </w:r>
          <w:r>
            <w:fldChar w:fldCharType="end"/>
          </w:r>
        </w:p>
        <w:p w14:paraId="7BE524F2">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"_Toc233183625" </w:instrText>
          </w:r>
          <w:r>
            <w:fldChar w:fldCharType="separate"/>
          </w:r>
          <w:r>
            <w:rPr>
              <w:rStyle w:val="21"/>
            </w:rPr>
            <w:t>2.2.4. Nhu cầu hỗ trợ của doanh nghiệp</w:t>
          </w:r>
          <w:r>
            <w:tab/>
          </w:r>
          <w:r>
            <w:fldChar w:fldCharType="begin"/>
          </w:r>
          <w:r>
            <w:instrText xml:space="preserve"> PAGEREF _Toc233183625 \h </w:instrText>
          </w:r>
          <w:r>
            <w:fldChar w:fldCharType="separate"/>
          </w:r>
          <w:r>
            <w:t>38</w:t>
          </w:r>
          <w:r>
            <w:fldChar w:fldCharType="end"/>
          </w:r>
          <w:r>
            <w:fldChar w:fldCharType="end"/>
          </w:r>
        </w:p>
        <w:p w14:paraId="20C76442">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"_Toc233183626" </w:instrText>
          </w:r>
          <w:r>
            <w:fldChar w:fldCharType="separate"/>
          </w:r>
          <w:r>
            <w:rPr>
              <w:rStyle w:val="21"/>
            </w:rPr>
            <w:t>2.2.5. Nhu cầu đối với các trung tâm ĐMST</w:t>
          </w:r>
          <w:r>
            <w:tab/>
          </w:r>
          <w:r>
            <w:fldChar w:fldCharType="begin"/>
          </w:r>
          <w:r>
            <w:instrText xml:space="preserve"> PAGEREF _Toc233183626 \h </w:instrText>
          </w:r>
          <w:r>
            <w:fldChar w:fldCharType="separate"/>
          </w:r>
          <w:r>
            <w:t>39</w:t>
          </w:r>
          <w:r>
            <w:fldChar w:fldCharType="end"/>
          </w:r>
          <w:r>
            <w:fldChar w:fldCharType="end"/>
          </w:r>
        </w:p>
        <w:p w14:paraId="1C5DF3B2">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"_Toc233183627" </w:instrText>
          </w:r>
          <w:r>
            <w:fldChar w:fldCharType="separate"/>
          </w:r>
          <w:r>
            <w:rPr>
              <w:rStyle w:val="21"/>
            </w:rPr>
            <w:t xml:space="preserve">2.3. Kết quả khảo sát các cơ quan quản lý, cơ sở nghiên cứu và cơ sở giáo dục về phát triển hệ sinh thái </w:t>
          </w:r>
          <w:r>
            <w:rPr>
              <w:rStyle w:val="21"/>
              <w:lang w:val="en-GB"/>
            </w:rPr>
            <w:t>ĐMST</w:t>
          </w:r>
          <w:r>
            <w:tab/>
          </w:r>
          <w:r>
            <w:fldChar w:fldCharType="begin"/>
          </w:r>
          <w:r>
            <w:instrText xml:space="preserve"> PAGEREF _Toc233183627 \h </w:instrText>
          </w:r>
          <w:r>
            <w:fldChar w:fldCharType="separate"/>
          </w:r>
          <w:r>
            <w:t>40</w:t>
          </w:r>
          <w:r>
            <w:fldChar w:fldCharType="end"/>
          </w:r>
          <w:r>
            <w:fldChar w:fldCharType="end"/>
          </w:r>
        </w:p>
        <w:p w14:paraId="5B5AC496">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"_Toc233183628" </w:instrText>
          </w:r>
          <w:r>
            <w:fldChar w:fldCharType="separate"/>
          </w:r>
          <w:r>
            <w:rPr>
              <w:rStyle w:val="21"/>
            </w:rPr>
            <w:t>2.3.1. Cơ cấu các bên liên quan tham gia khảo sát</w:t>
          </w:r>
          <w:r>
            <w:tab/>
          </w:r>
          <w:r>
            <w:fldChar w:fldCharType="begin"/>
          </w:r>
          <w:r>
            <w:instrText xml:space="preserve"> PAGEREF _Toc233183628 \h </w:instrText>
          </w:r>
          <w:r>
            <w:fldChar w:fldCharType="separate"/>
          </w:r>
          <w:r>
            <w:t>40</w:t>
          </w:r>
          <w:r>
            <w:fldChar w:fldCharType="end"/>
          </w:r>
          <w:r>
            <w:fldChar w:fldCharType="end"/>
          </w:r>
        </w:p>
        <w:p w14:paraId="44348EED">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"_Toc233183629" </w:instrText>
          </w:r>
          <w:r>
            <w:fldChar w:fldCharType="separate"/>
          </w:r>
          <w:r>
            <w:rPr>
              <w:rStyle w:val="21"/>
            </w:rPr>
            <w:t>2.3.2. Đánh giá nhu cầu thành lập các trung tâm ĐMST</w:t>
          </w:r>
          <w:r>
            <w:tab/>
          </w:r>
          <w:r>
            <w:fldChar w:fldCharType="begin"/>
          </w:r>
          <w:r>
            <w:instrText xml:space="preserve"> PAGEREF _Toc233183629 \h </w:instrText>
          </w:r>
          <w:r>
            <w:fldChar w:fldCharType="separate"/>
          </w:r>
          <w:r>
            <w:t>40</w:t>
          </w:r>
          <w:r>
            <w:fldChar w:fldCharType="end"/>
          </w:r>
          <w:r>
            <w:fldChar w:fldCharType="end"/>
          </w:r>
        </w:p>
        <w:p w14:paraId="2F5BEB2C">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"_Toc233183630" </w:instrText>
          </w:r>
          <w:r>
            <w:fldChar w:fldCharType="separate"/>
          </w:r>
          <w:r>
            <w:rPr>
              <w:rStyle w:val="21"/>
            </w:rPr>
            <w:t>2.3.3. Các chức năng được quan tâm của Trung tâm Đổi mới sáng tạo</w:t>
          </w:r>
          <w:r>
            <w:tab/>
          </w:r>
          <w:r>
            <w:fldChar w:fldCharType="begin"/>
          </w:r>
          <w:r>
            <w:instrText xml:space="preserve"> PAGEREF _Toc233183630 \h </w:instrText>
          </w:r>
          <w:r>
            <w:fldChar w:fldCharType="separate"/>
          </w:r>
          <w:r>
            <w:t>41</w:t>
          </w:r>
          <w:r>
            <w:fldChar w:fldCharType="end"/>
          </w:r>
          <w:r>
            <w:fldChar w:fldCharType="end"/>
          </w:r>
        </w:p>
        <w:p w14:paraId="7459BEFD">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"_Toc233183631" </w:instrText>
          </w:r>
          <w:r>
            <w:fldChar w:fldCharType="separate"/>
          </w:r>
          <w:r>
            <w:rPr>
              <w:rStyle w:val="21"/>
            </w:rPr>
            <w:t>2.3.4. Những thiếu hụt lớn nhất của hệ sinh thái ĐMST tỉnh Ninh Bình</w:t>
          </w:r>
          <w:r>
            <w:tab/>
          </w:r>
          <w:r>
            <w:fldChar w:fldCharType="begin"/>
          </w:r>
          <w:r>
            <w:instrText xml:space="preserve"> PAGEREF _Toc233183631 \h </w:instrText>
          </w:r>
          <w:r>
            <w:fldChar w:fldCharType="separate"/>
          </w:r>
          <w:r>
            <w:t>41</w:t>
          </w:r>
          <w:r>
            <w:fldChar w:fldCharType="end"/>
          </w:r>
          <w:r>
            <w:fldChar w:fldCharType="end"/>
          </w:r>
        </w:p>
        <w:p w14:paraId="3200DF1B">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"_Toc233183632" </w:instrText>
          </w:r>
          <w:r>
            <w:fldChar w:fldCharType="separate"/>
          </w:r>
          <w:r>
            <w:rPr>
              <w:rStyle w:val="21"/>
            </w:rPr>
            <w:t>2.3.5. Tổng kết kết quả khảo sát</w:t>
          </w:r>
          <w:r>
            <w:tab/>
          </w:r>
          <w:r>
            <w:fldChar w:fldCharType="begin"/>
          </w:r>
          <w:r>
            <w:instrText xml:space="preserve"> PAGEREF _Toc233183632 \h </w:instrText>
          </w:r>
          <w:r>
            <w:fldChar w:fldCharType="separate"/>
          </w:r>
          <w:r>
            <w:t>42</w:t>
          </w:r>
          <w:r>
            <w:fldChar w:fldCharType="end"/>
          </w:r>
          <w:r>
            <w:fldChar w:fldCharType="end"/>
          </w:r>
        </w:p>
        <w:p w14:paraId="667BD790">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"_Toc233183633" </w:instrText>
          </w:r>
          <w:r>
            <w:fldChar w:fldCharType="separate"/>
          </w:r>
          <w:r>
            <w:rPr>
              <w:rStyle w:val="21"/>
            </w:rPr>
            <w:t>2.4. Nhu cầu tất yếu phát triển hệ sinh thái ĐMST tích hợp của tỉnh Ninh Bình</w:t>
          </w:r>
          <w:r>
            <w:tab/>
          </w:r>
          <w:r>
            <w:fldChar w:fldCharType="begin"/>
          </w:r>
          <w:r>
            <w:instrText xml:space="preserve"> PAGEREF _Toc233183633 \h </w:instrText>
          </w:r>
          <w:r>
            <w:fldChar w:fldCharType="separate"/>
          </w:r>
          <w:r>
            <w:t>43</w:t>
          </w:r>
          <w:r>
            <w:fldChar w:fldCharType="end"/>
          </w:r>
          <w:r>
            <w:fldChar w:fldCharType="end"/>
          </w:r>
        </w:p>
        <w:p w14:paraId="38099777">
          <w:pPr>
            <w:pStyle w:val="28"/>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"_Toc233183634" </w:instrText>
          </w:r>
          <w:r>
            <w:fldChar w:fldCharType="separate"/>
          </w:r>
          <w:r>
            <w:rPr>
              <w:rStyle w:val="21"/>
              <w:lang w:val="vi-VN"/>
            </w:rPr>
            <w:t>PHẦN IV – QUAN ĐIỂM, MỤC TIÊU XÂY DỰNG ĐỀ ÁN</w:t>
          </w:r>
          <w:r>
            <w:tab/>
          </w:r>
          <w:r>
            <w:fldChar w:fldCharType="begin"/>
          </w:r>
          <w:r>
            <w:instrText xml:space="preserve"> PAGEREF _Toc233183634 \h </w:instrText>
          </w:r>
          <w:r>
            <w:fldChar w:fldCharType="separate"/>
          </w:r>
          <w:r>
            <w:t>44</w:t>
          </w:r>
          <w:r>
            <w:fldChar w:fldCharType="end"/>
          </w:r>
          <w:r>
            <w:fldChar w:fldCharType="end"/>
          </w:r>
        </w:p>
        <w:p w14:paraId="63047623">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"_Toc233183635" </w:instrText>
          </w:r>
          <w:r>
            <w:fldChar w:fldCharType="separate"/>
          </w:r>
          <w:r>
            <w:rPr>
              <w:rStyle w:val="21"/>
            </w:rPr>
            <w:t>I. QUAN ĐIỂM XÂY DỰNG ĐỀ ÁN HỆ SINH THÁI ĐMST TỈNH NINH BÌNH</w:t>
          </w:r>
          <w:r>
            <w:tab/>
          </w:r>
          <w:r>
            <w:fldChar w:fldCharType="begin"/>
          </w:r>
          <w:r>
            <w:instrText xml:space="preserve"> PAGEREF _Toc233183635 \h </w:instrText>
          </w:r>
          <w:r>
            <w:fldChar w:fldCharType="separate"/>
          </w:r>
          <w:r>
            <w:t>44</w:t>
          </w:r>
          <w:r>
            <w:fldChar w:fldCharType="end"/>
          </w:r>
          <w:r>
            <w:fldChar w:fldCharType="end"/>
          </w:r>
        </w:p>
        <w:p w14:paraId="3D35089D">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"_Toc233183636" </w:instrText>
          </w:r>
          <w:r>
            <w:fldChar w:fldCharType="separate"/>
          </w:r>
          <w:r>
            <w:rPr>
              <w:rStyle w:val="21"/>
            </w:rPr>
            <w:t>1.1. Phát triển hệ sinh thái ĐMST là nhiệm vụ chiến lược, mang tính liên ngành và toàn diện</w:t>
          </w:r>
          <w:r>
            <w:tab/>
          </w:r>
          <w:r>
            <w:fldChar w:fldCharType="begin"/>
          </w:r>
          <w:r>
            <w:instrText xml:space="preserve"> PAGEREF _Toc233183636 \h </w:instrText>
          </w:r>
          <w:r>
            <w:fldChar w:fldCharType="separate"/>
          </w:r>
          <w:r>
            <w:t>44</w:t>
          </w:r>
          <w:r>
            <w:fldChar w:fldCharType="end"/>
          </w:r>
          <w:r>
            <w:fldChar w:fldCharType="end"/>
          </w:r>
        </w:p>
        <w:p w14:paraId="36983817">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"_Toc233183637" </w:instrText>
          </w:r>
          <w:r>
            <w:fldChar w:fldCharType="separate"/>
          </w:r>
          <w:r>
            <w:rPr>
              <w:rStyle w:val="21"/>
            </w:rPr>
            <w:t>1.2. Chuyển từ tư duy quản lý các thành phần riêng lẻ sang kiến tạo hệ sinh thái tích hợp</w:t>
          </w:r>
          <w:r>
            <w:tab/>
          </w:r>
          <w:r>
            <w:fldChar w:fldCharType="begin"/>
          </w:r>
          <w:r>
            <w:instrText xml:space="preserve"> PAGEREF _Toc233183637 \h </w:instrText>
          </w:r>
          <w:r>
            <w:fldChar w:fldCharType="separate"/>
          </w:r>
          <w:r>
            <w:t>45</w:t>
          </w:r>
          <w:r>
            <w:fldChar w:fldCharType="end"/>
          </w:r>
          <w:r>
            <w:fldChar w:fldCharType="end"/>
          </w:r>
        </w:p>
        <w:p w14:paraId="08ACA805">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"_Toc233183638" </w:instrText>
          </w:r>
          <w:r>
            <w:fldChar w:fldCharType="separate"/>
          </w:r>
          <w:r>
            <w:rPr>
              <w:rStyle w:val="21"/>
            </w:rPr>
            <w:t>1.3. Xây dựng môi trường thử nghiệm và hạ tầng hỗ trợ ĐMST</w:t>
          </w:r>
          <w:r>
            <w:tab/>
          </w:r>
          <w:r>
            <w:fldChar w:fldCharType="begin"/>
          </w:r>
          <w:r>
            <w:instrText xml:space="preserve"> PAGEREF _Toc233183638 \h </w:instrText>
          </w:r>
          <w:r>
            <w:fldChar w:fldCharType="separate"/>
          </w:r>
          <w:r>
            <w:t>45</w:t>
          </w:r>
          <w:r>
            <w:fldChar w:fldCharType="end"/>
          </w:r>
          <w:r>
            <w:fldChar w:fldCharType="end"/>
          </w:r>
        </w:p>
        <w:p w14:paraId="62B67D3D">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"_Toc233183639" </w:instrText>
          </w:r>
          <w:r>
            <w:fldChar w:fldCharType="separate"/>
          </w:r>
          <w:r>
            <w:rPr>
              <w:rStyle w:val="21"/>
            </w:rPr>
            <w:t>1.4. Trung tâm ĐMST giữ vai trò điều phối và kết nối hệ sinh thái</w:t>
          </w:r>
          <w:r>
            <w:tab/>
          </w:r>
          <w:r>
            <w:fldChar w:fldCharType="begin"/>
          </w:r>
          <w:r>
            <w:instrText xml:space="preserve"> PAGEREF _Toc233183639 \h </w:instrText>
          </w:r>
          <w:r>
            <w:fldChar w:fldCharType="separate"/>
          </w:r>
          <w:r>
            <w:t>45</w:t>
          </w:r>
          <w:r>
            <w:fldChar w:fldCharType="end"/>
          </w:r>
          <w:r>
            <w:fldChar w:fldCharType="end"/>
          </w:r>
        </w:p>
        <w:p w14:paraId="0DEF7A8F">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"_Toc233183640" </w:instrText>
          </w:r>
          <w:r>
            <w:fldChar w:fldCharType="separate"/>
          </w:r>
          <w:r>
            <w:rPr>
              <w:rStyle w:val="21"/>
            </w:rPr>
            <w:t>1.5. Phát triển ĐMST theo hướng tập trung, có trọng tâm, trọng điểm</w:t>
          </w:r>
          <w:r>
            <w:tab/>
          </w:r>
          <w:r>
            <w:fldChar w:fldCharType="begin"/>
          </w:r>
          <w:r>
            <w:instrText xml:space="preserve"> PAGEREF _Toc233183640 \h </w:instrText>
          </w:r>
          <w:r>
            <w:fldChar w:fldCharType="separate"/>
          </w:r>
          <w:r>
            <w:t>45</w:t>
          </w:r>
          <w:r>
            <w:fldChar w:fldCharType="end"/>
          </w:r>
          <w:r>
            <w:fldChar w:fldCharType="end"/>
          </w:r>
        </w:p>
        <w:p w14:paraId="373D7AEB">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"_Toc233183641" </w:instrText>
          </w:r>
          <w:r>
            <w:fldChar w:fldCharType="separate"/>
          </w:r>
          <w:r>
            <w:rPr>
              <w:rStyle w:val="21"/>
            </w:rPr>
            <w:t>1.6. Doanh nghiệp là trung tâm, thị trường là động lực của ĐMST</w:t>
          </w:r>
          <w:r>
            <w:tab/>
          </w:r>
          <w:r>
            <w:fldChar w:fldCharType="begin"/>
          </w:r>
          <w:r>
            <w:instrText xml:space="preserve"> PAGEREF _Toc233183641 \h </w:instrText>
          </w:r>
          <w:r>
            <w:fldChar w:fldCharType="separate"/>
          </w:r>
          <w:r>
            <w:t>45</w:t>
          </w:r>
          <w:r>
            <w:fldChar w:fldCharType="end"/>
          </w:r>
          <w:r>
            <w:fldChar w:fldCharType="end"/>
          </w:r>
        </w:p>
        <w:p w14:paraId="4CA16156">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"_Toc233183642" </w:instrText>
          </w:r>
          <w:r>
            <w:fldChar w:fldCharType="separate"/>
          </w:r>
          <w:r>
            <w:rPr>
              <w:rStyle w:val="21"/>
            </w:rPr>
            <w:t>1.7. Nguồn nhân lực khoa học, công nghệ và ĐMST là yếu tố quyết định, sức mạnh nội sinh của hệ sinh thái</w:t>
          </w:r>
          <w:r>
            <w:tab/>
          </w:r>
          <w:r>
            <w:fldChar w:fldCharType="begin"/>
          </w:r>
          <w:r>
            <w:instrText xml:space="preserve"> PAGEREF _Toc233183642 \h </w:instrText>
          </w:r>
          <w:r>
            <w:fldChar w:fldCharType="separate"/>
          </w:r>
          <w:r>
            <w:t>46</w:t>
          </w:r>
          <w:r>
            <w:fldChar w:fldCharType="end"/>
          </w:r>
          <w:r>
            <w:fldChar w:fldCharType="end"/>
          </w:r>
        </w:p>
        <w:p w14:paraId="66200385">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"_Toc233183643" </w:instrText>
          </w:r>
          <w:r>
            <w:fldChar w:fldCharType="separate"/>
          </w:r>
          <w:r>
            <w:rPr>
              <w:rStyle w:val="21"/>
            </w:rPr>
            <w:t>II. TẦM NHÌN ĐẾN NĂM 2030</w:t>
          </w:r>
          <w:r>
            <w:tab/>
          </w:r>
          <w:r>
            <w:fldChar w:fldCharType="begin"/>
          </w:r>
          <w:r>
            <w:instrText xml:space="preserve"> PAGEREF _Toc233183643 \h </w:instrText>
          </w:r>
          <w:r>
            <w:fldChar w:fldCharType="separate"/>
          </w:r>
          <w:r>
            <w:t>46</w:t>
          </w:r>
          <w:r>
            <w:fldChar w:fldCharType="end"/>
          </w:r>
          <w:r>
            <w:fldChar w:fldCharType="end"/>
          </w:r>
        </w:p>
        <w:p w14:paraId="7533F901">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"_Toc233183644" </w:instrText>
          </w:r>
          <w:r>
            <w:fldChar w:fldCharType="separate"/>
          </w:r>
          <w:r>
            <w:rPr>
              <w:rStyle w:val="21"/>
            </w:rPr>
            <w:t>III. MỤC TIÊU</w:t>
          </w:r>
          <w:r>
            <w:tab/>
          </w:r>
          <w:r>
            <w:fldChar w:fldCharType="begin"/>
          </w:r>
          <w:r>
            <w:instrText xml:space="preserve"> PAGEREF _Toc233183644 \h </w:instrText>
          </w:r>
          <w:r>
            <w:fldChar w:fldCharType="separate"/>
          </w:r>
          <w:r>
            <w:t>47</w:t>
          </w:r>
          <w:r>
            <w:fldChar w:fldCharType="end"/>
          </w:r>
          <w:r>
            <w:fldChar w:fldCharType="end"/>
          </w:r>
        </w:p>
        <w:p w14:paraId="65E48695">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"_Toc233183645" </w:instrText>
          </w:r>
          <w:r>
            <w:fldChar w:fldCharType="separate"/>
          </w:r>
          <w:r>
            <w:rPr>
              <w:rStyle w:val="21"/>
            </w:rPr>
            <w:t>3.1. Mục tiêu tổng quát</w:t>
          </w:r>
          <w:r>
            <w:tab/>
          </w:r>
          <w:r>
            <w:fldChar w:fldCharType="begin"/>
          </w:r>
          <w:r>
            <w:instrText xml:space="preserve"> PAGEREF _Toc233183645 \h </w:instrText>
          </w:r>
          <w:r>
            <w:fldChar w:fldCharType="separate"/>
          </w:r>
          <w:r>
            <w:t>47</w:t>
          </w:r>
          <w:r>
            <w:fldChar w:fldCharType="end"/>
          </w:r>
          <w:r>
            <w:fldChar w:fldCharType="end"/>
          </w:r>
        </w:p>
        <w:p w14:paraId="0B0BFFA3">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"_Toc233183646" </w:instrText>
          </w:r>
          <w:r>
            <w:fldChar w:fldCharType="separate"/>
          </w:r>
          <w:r>
            <w:rPr>
              <w:rStyle w:val="21"/>
            </w:rPr>
            <w:t>3.2. Mục tiêu cụ thể</w:t>
          </w:r>
          <w:r>
            <w:tab/>
          </w:r>
          <w:r>
            <w:fldChar w:fldCharType="begin"/>
          </w:r>
          <w:r>
            <w:instrText xml:space="preserve"> PAGEREF _Toc233183646 \h </w:instrText>
          </w:r>
          <w:r>
            <w:fldChar w:fldCharType="separate"/>
          </w:r>
          <w:r>
            <w:t>47</w:t>
          </w:r>
          <w:r>
            <w:fldChar w:fldCharType="end"/>
          </w:r>
          <w:r>
            <w:fldChar w:fldCharType="end"/>
          </w:r>
        </w:p>
        <w:p w14:paraId="665ACD34">
          <w:pPr>
            <w:pStyle w:val="28"/>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"_Toc233183647" </w:instrText>
          </w:r>
          <w:r>
            <w:fldChar w:fldCharType="separate"/>
          </w:r>
          <w:r>
            <w:rPr>
              <w:rStyle w:val="21"/>
              <w:lang w:val="vi-VN"/>
            </w:rPr>
            <w:t>PHẦN V – CẤU PHẦN, NHIỆM VỤ VÀ GIẢI PHÁP</w:t>
          </w:r>
          <w:r>
            <w:tab/>
          </w:r>
          <w:r>
            <w:fldChar w:fldCharType="begin"/>
          </w:r>
          <w:r>
            <w:instrText xml:space="preserve"> PAGEREF _Toc233183647 \h </w:instrText>
          </w:r>
          <w:r>
            <w:fldChar w:fldCharType="separate"/>
          </w:r>
          <w:r>
            <w:t>49</w:t>
          </w:r>
          <w:r>
            <w:fldChar w:fldCharType="end"/>
          </w:r>
          <w:r>
            <w:fldChar w:fldCharType="end"/>
          </w:r>
        </w:p>
        <w:p w14:paraId="447F3E8C">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"_Toc233183648" </w:instrText>
          </w:r>
          <w:r>
            <w:fldChar w:fldCharType="separate"/>
          </w:r>
          <w:r>
            <w:rPr>
              <w:rStyle w:val="21"/>
            </w:rPr>
            <w:t>I. ĐỊNH HƯỚNG GIẢI PHÁP</w:t>
          </w:r>
          <w:r>
            <w:tab/>
          </w:r>
          <w:r>
            <w:fldChar w:fldCharType="begin"/>
          </w:r>
          <w:r>
            <w:instrText xml:space="preserve"> PAGEREF _Toc233183648 \h </w:instrText>
          </w:r>
          <w:r>
            <w:fldChar w:fldCharType="separate"/>
          </w:r>
          <w:r>
            <w:t>49</w:t>
          </w:r>
          <w:r>
            <w:fldChar w:fldCharType="end"/>
          </w:r>
          <w:r>
            <w:fldChar w:fldCharType="end"/>
          </w:r>
        </w:p>
        <w:p w14:paraId="608F67F6">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"_Toc233183649" </w:instrText>
          </w:r>
          <w:r>
            <w:fldChar w:fldCharType="separate"/>
          </w:r>
          <w:r>
            <w:rPr>
              <w:rStyle w:val="21"/>
            </w:rPr>
            <w:t>II. CẤU PHẦN HỆ SINH THÁI ĐMST TỈNH NINH BÌNH</w:t>
          </w:r>
          <w:r>
            <w:tab/>
          </w:r>
          <w:r>
            <w:fldChar w:fldCharType="begin"/>
          </w:r>
          <w:r>
            <w:instrText xml:space="preserve"> PAGEREF _Toc233183649 \h </w:instrText>
          </w:r>
          <w:r>
            <w:fldChar w:fldCharType="separate"/>
          </w:r>
          <w:r>
            <w:t>51</w:t>
          </w:r>
          <w:r>
            <w:fldChar w:fldCharType="end"/>
          </w:r>
          <w:r>
            <w:fldChar w:fldCharType="end"/>
          </w:r>
        </w:p>
        <w:p w14:paraId="78941FCE">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"_Toc233183650" </w:instrText>
          </w:r>
          <w:r>
            <w:fldChar w:fldCharType="separate"/>
          </w:r>
          <w:r>
            <w:rPr>
              <w:rStyle w:val="21"/>
            </w:rPr>
            <w:t xml:space="preserve">2.1. Hạ tầng và không gian </w:t>
          </w:r>
          <w:r>
            <w:rPr>
              <w:rStyle w:val="21"/>
              <w:lang w:val="en-GB"/>
            </w:rPr>
            <w:t>ĐMST</w:t>
          </w:r>
          <w:r>
            <w:tab/>
          </w:r>
          <w:r>
            <w:fldChar w:fldCharType="begin"/>
          </w:r>
          <w:r>
            <w:instrText xml:space="preserve"> PAGEREF _Toc233183650 \h </w:instrText>
          </w:r>
          <w:r>
            <w:fldChar w:fldCharType="separate"/>
          </w:r>
          <w:r>
            <w:t>51</w:t>
          </w:r>
          <w:r>
            <w:fldChar w:fldCharType="end"/>
          </w:r>
          <w:r>
            <w:fldChar w:fldCharType="end"/>
          </w:r>
        </w:p>
        <w:p w14:paraId="65952110">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"_Toc233183651" </w:instrText>
          </w:r>
          <w:r>
            <w:fldChar w:fldCharType="separate"/>
          </w:r>
          <w:r>
            <w:rPr>
              <w:rStyle w:val="21"/>
            </w:rPr>
            <w:t>2.1.1. Trung tâm ĐMST hạt nhân tỉnh Ninh Bình</w:t>
          </w:r>
          <w:r>
            <w:tab/>
          </w:r>
          <w:r>
            <w:fldChar w:fldCharType="begin"/>
          </w:r>
          <w:r>
            <w:instrText xml:space="preserve"> PAGEREF _Toc233183651 \h </w:instrText>
          </w:r>
          <w:r>
            <w:fldChar w:fldCharType="separate"/>
          </w:r>
          <w:r>
            <w:t>51</w:t>
          </w:r>
          <w:r>
            <w:fldChar w:fldCharType="end"/>
          </w:r>
          <w:r>
            <w:fldChar w:fldCharType="end"/>
          </w:r>
        </w:p>
        <w:p w14:paraId="25224CFD">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"_Toc233183652" </w:instrText>
          </w:r>
          <w:r>
            <w:fldChar w:fldCharType="separate"/>
          </w:r>
          <w:r>
            <w:rPr>
              <w:rStyle w:val="21"/>
            </w:rPr>
            <w:t>2.1.2. Hệ thống các Trung tâm ĐMST chuyên ngành</w:t>
          </w:r>
          <w:r>
            <w:tab/>
          </w:r>
          <w:r>
            <w:fldChar w:fldCharType="begin"/>
          </w:r>
          <w:r>
            <w:instrText xml:space="preserve"> PAGEREF _Toc233183652 \h </w:instrText>
          </w:r>
          <w:r>
            <w:fldChar w:fldCharType="separate"/>
          </w:r>
          <w:r>
            <w:t>52</w:t>
          </w:r>
          <w:r>
            <w:fldChar w:fldCharType="end"/>
          </w:r>
          <w:r>
            <w:fldChar w:fldCharType="end"/>
          </w:r>
        </w:p>
        <w:p w14:paraId="2FF04826">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"_Toc233183653" </w:instrText>
          </w:r>
          <w:r>
            <w:fldChar w:fldCharType="separate"/>
          </w:r>
          <w:r>
            <w:rPr>
              <w:rStyle w:val="21"/>
            </w:rPr>
            <w:t xml:space="preserve">2.1.3. Mạng lưới </w:t>
          </w:r>
          <w:r>
            <w:rPr>
              <w:rStyle w:val="21"/>
              <w:lang w:val="en-GB"/>
            </w:rPr>
            <w:t>Không gian khởi nghiệp sáng tạo cộng đồng</w:t>
          </w:r>
          <w:r>
            <w:tab/>
          </w:r>
          <w:r>
            <w:fldChar w:fldCharType="begin"/>
          </w:r>
          <w:r>
            <w:instrText xml:space="preserve"> PAGEREF _Toc233183653 \h </w:instrText>
          </w:r>
          <w:r>
            <w:fldChar w:fldCharType="separate"/>
          </w:r>
          <w:r>
            <w:t>57</w:t>
          </w:r>
          <w:r>
            <w:fldChar w:fldCharType="end"/>
          </w:r>
          <w:r>
            <w:fldChar w:fldCharType="end"/>
          </w:r>
        </w:p>
        <w:p w14:paraId="300CA329">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"_Toc233183654" </w:instrText>
          </w:r>
          <w:r>
            <w:fldChar w:fldCharType="separate"/>
          </w:r>
          <w:r>
            <w:rPr>
              <w:rStyle w:val="21"/>
            </w:rPr>
            <w:t>2.2. Nền tảng công nghệ và chương trình nội dung</w:t>
          </w:r>
          <w:r>
            <w:tab/>
          </w:r>
          <w:r>
            <w:fldChar w:fldCharType="begin"/>
          </w:r>
          <w:r>
            <w:instrText xml:space="preserve"> PAGEREF _Toc233183654 \h </w:instrText>
          </w:r>
          <w:r>
            <w:fldChar w:fldCharType="separate"/>
          </w:r>
          <w:r>
            <w:t>59</w:t>
          </w:r>
          <w:r>
            <w:fldChar w:fldCharType="end"/>
          </w:r>
          <w:r>
            <w:fldChar w:fldCharType="end"/>
          </w:r>
        </w:p>
        <w:p w14:paraId="6FDC2F10">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"_Toc233183655" </w:instrText>
          </w:r>
          <w:r>
            <w:fldChar w:fldCharType="separate"/>
          </w:r>
          <w:r>
            <w:rPr>
              <w:rStyle w:val="21"/>
            </w:rPr>
            <w:t>2.2.1. Nền tảng số hợp nhất – Ninh Binh Innovation Port</w:t>
          </w:r>
          <w:r>
            <w:tab/>
          </w:r>
          <w:r>
            <w:fldChar w:fldCharType="begin"/>
          </w:r>
          <w:r>
            <w:instrText xml:space="preserve"> PAGEREF _Toc233183655 \h </w:instrText>
          </w:r>
          <w:r>
            <w:fldChar w:fldCharType="separate"/>
          </w:r>
          <w:r>
            <w:t>59</w:t>
          </w:r>
          <w:r>
            <w:fldChar w:fldCharType="end"/>
          </w:r>
          <w:r>
            <w:fldChar w:fldCharType="end"/>
          </w:r>
        </w:p>
        <w:p w14:paraId="6D066A7A">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"_Toc233183656" </w:instrText>
          </w:r>
          <w:r>
            <w:fldChar w:fldCharType="separate"/>
          </w:r>
          <w:r>
            <w:rPr>
              <w:rStyle w:val="21"/>
            </w:rPr>
            <w:t>2.2.2. Hạ tầng kỹ thuật số nền tảng</w:t>
          </w:r>
          <w:r>
            <w:tab/>
          </w:r>
          <w:r>
            <w:fldChar w:fldCharType="begin"/>
          </w:r>
          <w:r>
            <w:instrText xml:space="preserve"> PAGEREF _Toc233183656 \h </w:instrText>
          </w:r>
          <w:r>
            <w:fldChar w:fldCharType="separate"/>
          </w:r>
          <w:r>
            <w:t>59</w:t>
          </w:r>
          <w:r>
            <w:fldChar w:fldCharType="end"/>
          </w:r>
          <w:r>
            <w:fldChar w:fldCharType="end"/>
          </w:r>
        </w:p>
        <w:p w14:paraId="2A2FB94A">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"_Toc233183657" </w:instrText>
          </w:r>
          <w:r>
            <w:fldChar w:fldCharType="separate"/>
          </w:r>
          <w:r>
            <w:rPr>
              <w:rStyle w:val="21"/>
            </w:rPr>
            <w:t>2.2.3. Chương trình nội dung hệ thống</w:t>
          </w:r>
          <w:r>
            <w:tab/>
          </w:r>
          <w:r>
            <w:fldChar w:fldCharType="begin"/>
          </w:r>
          <w:r>
            <w:instrText xml:space="preserve"> PAGEREF _Toc233183657 \h </w:instrText>
          </w:r>
          <w:r>
            <w:fldChar w:fldCharType="separate"/>
          </w:r>
          <w:r>
            <w:t>60</w:t>
          </w:r>
          <w:r>
            <w:fldChar w:fldCharType="end"/>
          </w:r>
          <w:r>
            <w:fldChar w:fldCharType="end"/>
          </w:r>
        </w:p>
        <w:p w14:paraId="03E4262D">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"_Toc233183658" </w:instrText>
          </w:r>
          <w:r>
            <w:fldChar w:fldCharType="separate"/>
          </w:r>
          <w:r>
            <w:rPr>
              <w:rStyle w:val="21"/>
            </w:rPr>
            <w:t>2.3. Nhân lực</w:t>
          </w:r>
          <w:r>
            <w:tab/>
          </w:r>
          <w:r>
            <w:fldChar w:fldCharType="begin"/>
          </w:r>
          <w:r>
            <w:instrText xml:space="preserve"> PAGEREF _Toc233183658 \h </w:instrText>
          </w:r>
          <w:r>
            <w:fldChar w:fldCharType="separate"/>
          </w:r>
          <w:r>
            <w:t>60</w:t>
          </w:r>
          <w:r>
            <w:fldChar w:fldCharType="end"/>
          </w:r>
          <w:r>
            <w:fldChar w:fldCharType="end"/>
          </w:r>
        </w:p>
        <w:p w14:paraId="62993B1A">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"_Toc233183659" </w:instrText>
          </w:r>
          <w:r>
            <w:fldChar w:fldCharType="separate"/>
          </w:r>
          <w:r>
            <w:rPr>
              <w:rStyle w:val="21"/>
            </w:rPr>
            <w:t>2.3.1. Đội ngũ vận hành chuyên nghiệp</w:t>
          </w:r>
          <w:r>
            <w:tab/>
          </w:r>
          <w:r>
            <w:fldChar w:fldCharType="begin"/>
          </w:r>
          <w:r>
            <w:instrText xml:space="preserve"> PAGEREF _Toc233183659 \h </w:instrText>
          </w:r>
          <w:r>
            <w:fldChar w:fldCharType="separate"/>
          </w:r>
          <w:r>
            <w:t>60</w:t>
          </w:r>
          <w:r>
            <w:fldChar w:fldCharType="end"/>
          </w:r>
          <w:r>
            <w:fldChar w:fldCharType="end"/>
          </w:r>
        </w:p>
        <w:p w14:paraId="2B7D3B79">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"_Toc233183660" </w:instrText>
          </w:r>
          <w:r>
            <w:fldChar w:fldCharType="separate"/>
          </w:r>
          <w:r>
            <w:rPr>
              <w:rStyle w:val="21"/>
            </w:rPr>
            <w:t>2.3.2. Mạng lưới chuyên gia, cố vấn và chuyên gia công nghệ</w:t>
          </w:r>
          <w:r>
            <w:tab/>
          </w:r>
          <w:r>
            <w:fldChar w:fldCharType="begin"/>
          </w:r>
          <w:r>
            <w:instrText xml:space="preserve"> PAGEREF _Toc233183660 \h </w:instrText>
          </w:r>
          <w:r>
            <w:fldChar w:fldCharType="separate"/>
          </w:r>
          <w:r>
            <w:t>61</w:t>
          </w:r>
          <w:r>
            <w:fldChar w:fldCharType="end"/>
          </w:r>
          <w:r>
            <w:fldChar w:fldCharType="end"/>
          </w:r>
        </w:p>
        <w:p w14:paraId="7E5F616D">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"_Toc233183661" </w:instrText>
          </w:r>
          <w:r>
            <w:fldChar w:fldCharType="separate"/>
          </w:r>
          <w:r>
            <w:rPr>
              <w:rStyle w:val="21"/>
            </w:rPr>
            <w:t>2.3.3. Cộng đồng nhân lực và tài năng ĐMST</w:t>
          </w:r>
          <w:r>
            <w:tab/>
          </w:r>
          <w:r>
            <w:fldChar w:fldCharType="begin"/>
          </w:r>
          <w:r>
            <w:instrText xml:space="preserve"> PAGEREF _Toc233183661 \h </w:instrText>
          </w:r>
          <w:r>
            <w:fldChar w:fldCharType="separate"/>
          </w:r>
          <w:r>
            <w:t>61</w:t>
          </w:r>
          <w:r>
            <w:fldChar w:fldCharType="end"/>
          </w:r>
          <w:r>
            <w:fldChar w:fldCharType="end"/>
          </w:r>
        </w:p>
        <w:p w14:paraId="2C2995F3">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"_Toc233183662" </w:instrText>
          </w:r>
          <w:r>
            <w:fldChar w:fldCharType="separate"/>
          </w:r>
          <w:r>
            <w:rPr>
              <w:rStyle w:val="21"/>
            </w:rPr>
            <w:t>III. CÁC NHÓM GIẢI PHÁP</w:t>
          </w:r>
          <w:r>
            <w:tab/>
          </w:r>
          <w:r>
            <w:fldChar w:fldCharType="begin"/>
          </w:r>
          <w:r>
            <w:instrText xml:space="preserve"> PAGEREF _Toc233183662 \h </w:instrText>
          </w:r>
          <w:r>
            <w:fldChar w:fldCharType="separate"/>
          </w:r>
          <w:r>
            <w:t>62</w:t>
          </w:r>
          <w:r>
            <w:fldChar w:fldCharType="end"/>
          </w:r>
          <w:r>
            <w:fldChar w:fldCharType="end"/>
          </w:r>
        </w:p>
        <w:p w14:paraId="526A4EC9">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"_Toc233183663" </w:instrText>
          </w:r>
          <w:r>
            <w:fldChar w:fldCharType="separate"/>
          </w:r>
          <w:r>
            <w:rPr>
              <w:rStyle w:val="21"/>
            </w:rPr>
            <w:t>3.1. Nhóm giải pháp phát triển hệ sinh thái ĐMST</w:t>
          </w:r>
          <w:r>
            <w:tab/>
          </w:r>
          <w:r>
            <w:fldChar w:fldCharType="begin"/>
          </w:r>
          <w:r>
            <w:instrText xml:space="preserve"> PAGEREF _Toc233183663 \h </w:instrText>
          </w:r>
          <w:r>
            <w:fldChar w:fldCharType="separate"/>
          </w:r>
          <w:r>
            <w:t>62</w:t>
          </w:r>
          <w:r>
            <w:fldChar w:fldCharType="end"/>
          </w:r>
          <w:r>
            <w:fldChar w:fldCharType="end"/>
          </w:r>
        </w:p>
        <w:p w14:paraId="535D681C">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"_Toc233183664" </w:instrText>
          </w:r>
          <w:r>
            <w:fldChar w:fldCharType="separate"/>
          </w:r>
          <w:r>
            <w:rPr>
              <w:rStyle w:val="21"/>
            </w:rPr>
            <w:t>3.1.1. Giải pháp 1. Xây dựng và vận hành Trung tâm ĐMST tỉnh Ninh Bình theo mô hình điều phối hệ sinh thái</w:t>
          </w:r>
          <w:r>
            <w:tab/>
          </w:r>
          <w:r>
            <w:fldChar w:fldCharType="begin"/>
          </w:r>
          <w:r>
            <w:instrText xml:space="preserve"> PAGEREF _Toc233183664 \h </w:instrText>
          </w:r>
          <w:r>
            <w:fldChar w:fldCharType="separate"/>
          </w:r>
          <w:r>
            <w:t>62</w:t>
          </w:r>
          <w:r>
            <w:fldChar w:fldCharType="end"/>
          </w:r>
          <w:r>
            <w:fldChar w:fldCharType="end"/>
          </w:r>
        </w:p>
        <w:p w14:paraId="416FD403">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"_Toc233183665" </w:instrText>
          </w:r>
          <w:r>
            <w:fldChar w:fldCharType="separate"/>
          </w:r>
          <w:r>
            <w:rPr>
              <w:rStyle w:val="21"/>
            </w:rPr>
            <w:t>3.1.2. Giải pháp 2. Triển khai Chương trình phát triển các trung tâm ĐMST chuyên ngành gắn với các lĩnh vực ưu tiên của tỉnh</w:t>
          </w:r>
          <w:r>
            <w:tab/>
          </w:r>
          <w:r>
            <w:fldChar w:fldCharType="begin"/>
          </w:r>
          <w:r>
            <w:instrText xml:space="preserve"> PAGEREF _Toc233183665 \h </w:instrText>
          </w:r>
          <w:r>
            <w:fldChar w:fldCharType="separate"/>
          </w:r>
          <w:r>
            <w:t>62</w:t>
          </w:r>
          <w:r>
            <w:fldChar w:fldCharType="end"/>
          </w:r>
          <w:r>
            <w:fldChar w:fldCharType="end"/>
          </w:r>
        </w:p>
        <w:p w14:paraId="7A2548C2">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"_Toc233183666" </w:instrText>
          </w:r>
          <w:r>
            <w:fldChar w:fldCharType="separate"/>
          </w:r>
          <w:r>
            <w:rPr>
              <w:rStyle w:val="21"/>
            </w:rPr>
            <w:t xml:space="preserve">3.1.3. Giải pháp 3. Triển khai Chương trình phát triển mạng lưới </w:t>
          </w:r>
          <w:r>
            <w:rPr>
              <w:rStyle w:val="21"/>
              <w:lang w:val="en-GB"/>
            </w:rPr>
            <w:t>Không gian khởi nghiệp sáng tạo cộng đồng</w:t>
          </w:r>
          <w:r>
            <w:rPr>
              <w:rStyle w:val="21"/>
            </w:rPr>
            <w:t xml:space="preserve"> và các không gian ĐMST cộng đồng</w:t>
          </w:r>
          <w:r>
            <w:tab/>
          </w:r>
          <w:r>
            <w:fldChar w:fldCharType="begin"/>
          </w:r>
          <w:r>
            <w:instrText xml:space="preserve"> PAGEREF _Toc233183666 \h </w:instrText>
          </w:r>
          <w:r>
            <w:fldChar w:fldCharType="separate"/>
          </w:r>
          <w:r>
            <w:t>63</w:t>
          </w:r>
          <w:r>
            <w:fldChar w:fldCharType="end"/>
          </w:r>
          <w:r>
            <w:fldChar w:fldCharType="end"/>
          </w:r>
        </w:p>
        <w:p w14:paraId="03653A3C">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"_Toc233183667" </w:instrText>
          </w:r>
          <w:r>
            <w:fldChar w:fldCharType="separate"/>
          </w:r>
          <w:r>
            <w:rPr>
              <w:rStyle w:val="21"/>
            </w:rPr>
            <w:t>3.1.4. Giải pháp 4. Xây dựng cơ chế hỗ trợ đầu tư và huy động nguồn lực cho ĐMST và khởi nghiệp sáng tạo</w:t>
          </w:r>
          <w:r>
            <w:tab/>
          </w:r>
          <w:r>
            <w:fldChar w:fldCharType="begin"/>
          </w:r>
          <w:r>
            <w:instrText xml:space="preserve"> PAGEREF _Toc233183667 \h </w:instrText>
          </w:r>
          <w:r>
            <w:fldChar w:fldCharType="separate"/>
          </w:r>
          <w:r>
            <w:t>63</w:t>
          </w:r>
          <w:r>
            <w:fldChar w:fldCharType="end"/>
          </w:r>
          <w:r>
            <w:fldChar w:fldCharType="end"/>
          </w:r>
        </w:p>
        <w:p w14:paraId="5D77B7BB">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"_Toc233183668" </w:instrText>
          </w:r>
          <w:r>
            <w:fldChar w:fldCharType="separate"/>
          </w:r>
          <w:r>
            <w:rPr>
              <w:rStyle w:val="21"/>
            </w:rPr>
            <w:t>3.1.5. Giải pháp 5. Triển khai Chương trình phát triển các tổ chức trung gian hỗ trợ hệ sinh thái ĐMST</w:t>
          </w:r>
          <w:r>
            <w:tab/>
          </w:r>
          <w:r>
            <w:fldChar w:fldCharType="begin"/>
          </w:r>
          <w:r>
            <w:instrText xml:space="preserve"> PAGEREF _Toc233183668 \h </w:instrText>
          </w:r>
          <w:r>
            <w:fldChar w:fldCharType="separate"/>
          </w:r>
          <w:r>
            <w:t>63</w:t>
          </w:r>
          <w:r>
            <w:fldChar w:fldCharType="end"/>
          </w:r>
          <w:r>
            <w:fldChar w:fldCharType="end"/>
          </w:r>
        </w:p>
        <w:p w14:paraId="54D07A04">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"_Toc233183669" </w:instrText>
          </w:r>
          <w:r>
            <w:fldChar w:fldCharType="separate"/>
          </w:r>
          <w:r>
            <w:rPr>
              <w:rStyle w:val="21"/>
            </w:rPr>
            <w:t>3.1.6. Giải pháp 6. Xây dựng hạ tầng số và cơ sở dữ liệu dùng chung phục vụ quản trị hệ sinh thái ĐMST</w:t>
          </w:r>
          <w:r>
            <w:tab/>
          </w:r>
          <w:r>
            <w:fldChar w:fldCharType="begin"/>
          </w:r>
          <w:r>
            <w:instrText xml:space="preserve"> PAGEREF _Toc233183669 \h </w:instrText>
          </w:r>
          <w:r>
            <w:fldChar w:fldCharType="separate"/>
          </w:r>
          <w:r>
            <w:t>64</w:t>
          </w:r>
          <w:r>
            <w:fldChar w:fldCharType="end"/>
          </w:r>
          <w:r>
            <w:fldChar w:fldCharType="end"/>
          </w:r>
        </w:p>
        <w:p w14:paraId="5CE5D9AC">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"_Toc233183670" </w:instrText>
          </w:r>
          <w:r>
            <w:fldChar w:fldCharType="separate"/>
          </w:r>
          <w:r>
            <w:rPr>
              <w:rStyle w:val="21"/>
            </w:rPr>
            <w:t>3.2. Nhóm giải pháp phát triển doanh nghiệp và hoạt động ĐMST</w:t>
          </w:r>
          <w:r>
            <w:tab/>
          </w:r>
          <w:r>
            <w:fldChar w:fldCharType="begin"/>
          </w:r>
          <w:r>
            <w:instrText xml:space="preserve"> PAGEREF _Toc233183670 \h </w:instrText>
          </w:r>
          <w:r>
            <w:fldChar w:fldCharType="separate"/>
          </w:r>
          <w:r>
            <w:t>64</w:t>
          </w:r>
          <w:r>
            <w:fldChar w:fldCharType="end"/>
          </w:r>
          <w:r>
            <w:fldChar w:fldCharType="end"/>
          </w:r>
        </w:p>
        <w:p w14:paraId="78DC7CBD">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"_Toc233183671" </w:instrText>
          </w:r>
          <w:r>
            <w:fldChar w:fldCharType="separate"/>
          </w:r>
          <w:r>
            <w:rPr>
              <w:rStyle w:val="21"/>
            </w:rPr>
            <w:t>3.2.1. Giải pháp 7. Triển khai Chương trình hỗ trợ doanh nghiệp đổi mới công nghệ, chuyển đổi số và nâng cao năng lực ĐMST</w:t>
          </w:r>
          <w:r>
            <w:tab/>
          </w:r>
          <w:r>
            <w:fldChar w:fldCharType="begin"/>
          </w:r>
          <w:r>
            <w:instrText xml:space="preserve"> PAGEREF _Toc233183671 \h </w:instrText>
          </w:r>
          <w:r>
            <w:fldChar w:fldCharType="separate"/>
          </w:r>
          <w:r>
            <w:t>64</w:t>
          </w:r>
          <w:r>
            <w:fldChar w:fldCharType="end"/>
          </w:r>
          <w:r>
            <w:fldChar w:fldCharType="end"/>
          </w:r>
        </w:p>
        <w:p w14:paraId="3DAA5605">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"_Toc233183672" </w:instrText>
          </w:r>
          <w:r>
            <w:fldChar w:fldCharType="separate"/>
          </w:r>
          <w:r>
            <w:rPr>
              <w:rStyle w:val="21"/>
            </w:rPr>
            <w:t>3.2.2. Giải pháp 8. Triển khai Chương trình phát triển doanh nghiệp KNST, doanh nghiệp KH&amp;CN và doanh nghiệp ĐMST</w:t>
          </w:r>
          <w:r>
            <w:tab/>
          </w:r>
          <w:r>
            <w:fldChar w:fldCharType="begin"/>
          </w:r>
          <w:r>
            <w:instrText xml:space="preserve"> PAGEREF _Toc233183672 \h </w:instrText>
          </w:r>
          <w:r>
            <w:fldChar w:fldCharType="separate"/>
          </w:r>
          <w:r>
            <w:t>65</w:t>
          </w:r>
          <w:r>
            <w:fldChar w:fldCharType="end"/>
          </w:r>
          <w:r>
            <w:fldChar w:fldCharType="end"/>
          </w:r>
        </w:p>
        <w:p w14:paraId="4AB2E54B">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"_Toc233183673" </w:instrText>
          </w:r>
          <w:r>
            <w:fldChar w:fldCharType="separate"/>
          </w:r>
          <w:r>
            <w:rPr>
              <w:rStyle w:val="21"/>
            </w:rPr>
            <w:t>3.2.3. Giải pháp 9. Triển khai Chương trình kết nối doanh nghiệp lớn, doanh nghiệp FDI với doanh nghiệp ĐMST địa phương</w:t>
          </w:r>
          <w:r>
            <w:tab/>
          </w:r>
          <w:r>
            <w:fldChar w:fldCharType="begin"/>
          </w:r>
          <w:r>
            <w:instrText xml:space="preserve"> PAGEREF _Toc233183673 \h </w:instrText>
          </w:r>
          <w:r>
            <w:fldChar w:fldCharType="separate"/>
          </w:r>
          <w:r>
            <w:t>65</w:t>
          </w:r>
          <w:r>
            <w:fldChar w:fldCharType="end"/>
          </w:r>
          <w:r>
            <w:fldChar w:fldCharType="end"/>
          </w:r>
        </w:p>
        <w:p w14:paraId="4C13422A">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"_Toc233183674" </w:instrText>
          </w:r>
          <w:r>
            <w:fldChar w:fldCharType="separate"/>
          </w:r>
          <w:r>
            <w:rPr>
              <w:rStyle w:val="21"/>
            </w:rPr>
            <w:t>3.2.4. Giải pháp 10. Triển khai Chương trình hỗ trợ thương mại hóa sản phẩm và kết quả ĐMST</w:t>
          </w:r>
          <w:r>
            <w:tab/>
          </w:r>
          <w:r>
            <w:fldChar w:fldCharType="begin"/>
          </w:r>
          <w:r>
            <w:instrText xml:space="preserve"> PAGEREF _Toc233183674 \h </w:instrText>
          </w:r>
          <w:r>
            <w:fldChar w:fldCharType="separate"/>
          </w:r>
          <w:r>
            <w:t>65</w:t>
          </w:r>
          <w:r>
            <w:fldChar w:fldCharType="end"/>
          </w:r>
          <w:r>
            <w:fldChar w:fldCharType="end"/>
          </w:r>
        </w:p>
        <w:p w14:paraId="19DE2FE2">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"_Toc233183675" </w:instrText>
          </w:r>
          <w:r>
            <w:fldChar w:fldCharType="separate"/>
          </w:r>
          <w:r>
            <w:rPr>
              <w:rStyle w:val="21"/>
            </w:rPr>
            <w:t>3.2.5. Giải pháp 11. Triển khai Chương trình hỗ trợ tiếp cận vốn và huy động nguồn lực cho doanh nghiệp ĐMST</w:t>
          </w:r>
          <w:r>
            <w:tab/>
          </w:r>
          <w:r>
            <w:fldChar w:fldCharType="begin"/>
          </w:r>
          <w:r>
            <w:instrText xml:space="preserve"> PAGEREF _Toc233183675 \h </w:instrText>
          </w:r>
          <w:r>
            <w:fldChar w:fldCharType="separate"/>
          </w:r>
          <w:r>
            <w:t>66</w:t>
          </w:r>
          <w:r>
            <w:fldChar w:fldCharType="end"/>
          </w:r>
          <w:r>
            <w:fldChar w:fldCharType="end"/>
          </w:r>
        </w:p>
        <w:p w14:paraId="7BDFB6C8">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"_Toc233183676" </w:instrText>
          </w:r>
          <w:r>
            <w:fldChar w:fldCharType="separate"/>
          </w:r>
          <w:r>
            <w:rPr>
              <w:rStyle w:val="21"/>
            </w:rPr>
            <w:t>3.2.6. Giải pháp 12. Triển khai Chương trình thu hút trung tâm R&amp;D và doanh nghiệp công nghệ cao đầu tư tại tỉnh</w:t>
          </w:r>
          <w:r>
            <w:tab/>
          </w:r>
          <w:r>
            <w:fldChar w:fldCharType="begin"/>
          </w:r>
          <w:r>
            <w:instrText xml:space="preserve"> PAGEREF _Toc233183676 \h </w:instrText>
          </w:r>
          <w:r>
            <w:fldChar w:fldCharType="separate"/>
          </w:r>
          <w:r>
            <w:t>66</w:t>
          </w:r>
          <w:r>
            <w:fldChar w:fldCharType="end"/>
          </w:r>
          <w:r>
            <w:fldChar w:fldCharType="end"/>
          </w:r>
        </w:p>
        <w:p w14:paraId="50741403">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"_Toc233183677" </w:instrText>
          </w:r>
          <w:r>
            <w:fldChar w:fldCharType="separate"/>
          </w:r>
          <w:r>
            <w:rPr>
              <w:rStyle w:val="21"/>
            </w:rPr>
            <w:t>3.3. Nhóm giải pháp phát triển khoa học, công nghệ và chuyển giao công nghệ</w:t>
          </w:r>
          <w:r>
            <w:tab/>
          </w:r>
          <w:r>
            <w:fldChar w:fldCharType="begin"/>
          </w:r>
          <w:r>
            <w:instrText xml:space="preserve"> PAGEREF _Toc233183677 \h </w:instrText>
          </w:r>
          <w:r>
            <w:fldChar w:fldCharType="separate"/>
          </w:r>
          <w:r>
            <w:t>67</w:t>
          </w:r>
          <w:r>
            <w:fldChar w:fldCharType="end"/>
          </w:r>
          <w:r>
            <w:fldChar w:fldCharType="end"/>
          </w:r>
        </w:p>
        <w:p w14:paraId="10308C96">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"_Toc233183678" </w:instrText>
          </w:r>
          <w:r>
            <w:fldChar w:fldCharType="separate"/>
          </w:r>
          <w:r>
            <w:rPr>
              <w:rStyle w:val="21"/>
            </w:rPr>
            <w:t>3.3.1. Giải pháp 13. Triển khai Chương trình phát triển tài sản trí tuệ và thương mại hóa kết quả nghiên cứu</w:t>
          </w:r>
          <w:r>
            <w:tab/>
          </w:r>
          <w:r>
            <w:fldChar w:fldCharType="begin"/>
          </w:r>
          <w:r>
            <w:instrText xml:space="preserve"> PAGEREF _Toc233183678 \h </w:instrText>
          </w:r>
          <w:r>
            <w:fldChar w:fldCharType="separate"/>
          </w:r>
          <w:r>
            <w:t>67</w:t>
          </w:r>
          <w:r>
            <w:fldChar w:fldCharType="end"/>
          </w:r>
          <w:r>
            <w:fldChar w:fldCharType="end"/>
          </w:r>
        </w:p>
        <w:p w14:paraId="318E13A3">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"_Toc233183679" </w:instrText>
          </w:r>
          <w:r>
            <w:fldChar w:fldCharType="separate"/>
          </w:r>
          <w:r>
            <w:rPr>
              <w:rStyle w:val="21"/>
            </w:rPr>
            <w:t>3.3.2. Giải pháp 14. Triển khai Chương trình liên kết Viện – Trường – Doanh nghiệp phục vụ nghiên cứu ứng dụng và chuyển giao công nghệ</w:t>
          </w:r>
          <w:r>
            <w:tab/>
          </w:r>
          <w:r>
            <w:fldChar w:fldCharType="begin"/>
          </w:r>
          <w:r>
            <w:instrText xml:space="preserve"> PAGEREF _Toc233183679 \h </w:instrText>
          </w:r>
          <w:r>
            <w:fldChar w:fldCharType="separate"/>
          </w:r>
          <w:r>
            <w:t>67</w:t>
          </w:r>
          <w:r>
            <w:fldChar w:fldCharType="end"/>
          </w:r>
          <w:r>
            <w:fldChar w:fldCharType="end"/>
          </w:r>
        </w:p>
        <w:p w14:paraId="32941015">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"_Toc233183680" </w:instrText>
          </w:r>
          <w:r>
            <w:fldChar w:fldCharType="separate"/>
          </w:r>
          <w:r>
            <w:rPr>
              <w:rStyle w:val="21"/>
            </w:rPr>
            <w:t>3.3.3. Giải pháp 15. Triển khai Chương trình hỗ trợ doanh nghiệp nghiên cứu, đổi mới công nghệ và chuyển giao công nghệ</w:t>
          </w:r>
          <w:r>
            <w:tab/>
          </w:r>
          <w:r>
            <w:fldChar w:fldCharType="begin"/>
          </w:r>
          <w:r>
            <w:instrText xml:space="preserve"> PAGEREF _Toc233183680 \h </w:instrText>
          </w:r>
          <w:r>
            <w:fldChar w:fldCharType="separate"/>
          </w:r>
          <w:r>
            <w:t>68</w:t>
          </w:r>
          <w:r>
            <w:fldChar w:fldCharType="end"/>
          </w:r>
          <w:r>
            <w:fldChar w:fldCharType="end"/>
          </w:r>
        </w:p>
        <w:p w14:paraId="7539D47C">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"_Toc233183681" </w:instrText>
          </w:r>
          <w:r>
            <w:fldChar w:fldCharType="separate"/>
          </w:r>
          <w:r>
            <w:rPr>
              <w:rStyle w:val="21"/>
            </w:rPr>
            <w:t>3.3.4. Giải pháp 16. Phát triển hạ tầng nghiên cứu ứng dụng, thử nghiệm và chuyển giao công nghệ phục vụ các ngành ưu tiên</w:t>
          </w:r>
          <w:r>
            <w:tab/>
          </w:r>
          <w:r>
            <w:fldChar w:fldCharType="begin"/>
          </w:r>
          <w:r>
            <w:instrText xml:space="preserve"> PAGEREF _Toc233183681 \h </w:instrText>
          </w:r>
          <w:r>
            <w:fldChar w:fldCharType="separate"/>
          </w:r>
          <w:r>
            <w:t>68</w:t>
          </w:r>
          <w:r>
            <w:fldChar w:fldCharType="end"/>
          </w:r>
          <w:r>
            <w:fldChar w:fldCharType="end"/>
          </w:r>
        </w:p>
        <w:p w14:paraId="4699979A">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"_Toc233183682" </w:instrText>
          </w:r>
          <w:r>
            <w:fldChar w:fldCharType="separate"/>
          </w:r>
          <w:r>
            <w:rPr>
              <w:rStyle w:val="21"/>
            </w:rPr>
            <w:t>3.3.5. Giải pháp 17. Phát huy vai trò của Sàn giao dịch công nghệ và nền tảng số trong kết nối chuyển giao công nghệ</w:t>
          </w:r>
          <w:r>
            <w:tab/>
          </w:r>
          <w:r>
            <w:fldChar w:fldCharType="begin"/>
          </w:r>
          <w:r>
            <w:instrText xml:space="preserve"> PAGEREF _Toc233183682 \h </w:instrText>
          </w:r>
          <w:r>
            <w:fldChar w:fldCharType="separate"/>
          </w:r>
          <w:r>
            <w:t>69</w:t>
          </w:r>
          <w:r>
            <w:fldChar w:fldCharType="end"/>
          </w:r>
          <w:r>
            <w:fldChar w:fldCharType="end"/>
          </w:r>
        </w:p>
        <w:p w14:paraId="0D59C0D8">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"_Toc233183683" </w:instrText>
          </w:r>
          <w:r>
            <w:fldChar w:fldCharType="separate"/>
          </w:r>
          <w:r>
            <w:rPr>
              <w:rStyle w:val="21"/>
            </w:rPr>
            <w:t>3.4. Nhóm giải pháp phát triển nhân lực và nâng cao năng lực hệ sinh thái</w:t>
          </w:r>
          <w:r>
            <w:tab/>
          </w:r>
          <w:r>
            <w:fldChar w:fldCharType="begin"/>
          </w:r>
          <w:r>
            <w:instrText xml:space="preserve"> PAGEREF _Toc233183683 \h </w:instrText>
          </w:r>
          <w:r>
            <w:fldChar w:fldCharType="separate"/>
          </w:r>
          <w:r>
            <w:t>69</w:t>
          </w:r>
          <w:r>
            <w:fldChar w:fldCharType="end"/>
          </w:r>
          <w:r>
            <w:fldChar w:fldCharType="end"/>
          </w:r>
        </w:p>
        <w:p w14:paraId="4747E666">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"_Toc233183684" </w:instrText>
          </w:r>
          <w:r>
            <w:fldChar w:fldCharType="separate"/>
          </w:r>
          <w:r>
            <w:rPr>
              <w:rStyle w:val="21"/>
            </w:rPr>
            <w:t>3.4.1. Giải pháp 18. Triển khai Chương trình phát triển nguồn nhân lực phục vụ các ngành kinh tế trọng điểm và lĩnh vực công nghệ ưu tiên</w:t>
          </w:r>
          <w:r>
            <w:tab/>
          </w:r>
          <w:r>
            <w:fldChar w:fldCharType="begin"/>
          </w:r>
          <w:r>
            <w:instrText xml:space="preserve"> PAGEREF _Toc233183684 \h </w:instrText>
          </w:r>
          <w:r>
            <w:fldChar w:fldCharType="separate"/>
          </w:r>
          <w:r>
            <w:t>69</w:t>
          </w:r>
          <w:r>
            <w:fldChar w:fldCharType="end"/>
          </w:r>
          <w:r>
            <w:fldChar w:fldCharType="end"/>
          </w:r>
        </w:p>
        <w:p w14:paraId="2C5EBF48">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"_Toc233183685" </w:instrText>
          </w:r>
          <w:r>
            <w:fldChar w:fldCharType="separate"/>
          </w:r>
          <w:r>
            <w:rPr>
              <w:rStyle w:val="21"/>
            </w:rPr>
            <w:t>3.4.2. Giải pháp 19. Triển khai Chương trình thu hút chuyên gia, nhà khoa học và nhân tài ĐMST</w:t>
          </w:r>
          <w:r>
            <w:tab/>
          </w:r>
          <w:r>
            <w:fldChar w:fldCharType="begin"/>
          </w:r>
          <w:r>
            <w:instrText xml:space="preserve"> PAGEREF _Toc233183685 \h </w:instrText>
          </w:r>
          <w:r>
            <w:fldChar w:fldCharType="separate"/>
          </w:r>
          <w:r>
            <w:t>70</w:t>
          </w:r>
          <w:r>
            <w:fldChar w:fldCharType="end"/>
          </w:r>
          <w:r>
            <w:fldChar w:fldCharType="end"/>
          </w:r>
        </w:p>
        <w:p w14:paraId="49DCFA08">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"_Toc233183686" </w:instrText>
          </w:r>
          <w:r>
            <w:fldChar w:fldCharType="separate"/>
          </w:r>
          <w:r>
            <w:rPr>
              <w:rStyle w:val="21"/>
            </w:rPr>
            <w:t>3.4.3. Giải pháp 20. Triển khai Chương trình đào tạo, bồi dưỡng năng lực ĐMST, chuyển đổi số và quản trị công nghệ</w:t>
          </w:r>
          <w:r>
            <w:tab/>
          </w:r>
          <w:r>
            <w:fldChar w:fldCharType="begin"/>
          </w:r>
          <w:r>
            <w:instrText xml:space="preserve"> PAGEREF _Toc233183686 \h </w:instrText>
          </w:r>
          <w:r>
            <w:fldChar w:fldCharType="separate"/>
          </w:r>
          <w:r>
            <w:t>70</w:t>
          </w:r>
          <w:r>
            <w:fldChar w:fldCharType="end"/>
          </w:r>
          <w:r>
            <w:fldChar w:fldCharType="end"/>
          </w:r>
        </w:p>
        <w:p w14:paraId="3D70ECAF">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"_Toc233183687" </w:instrText>
          </w:r>
          <w:r>
            <w:fldChar w:fldCharType="separate"/>
          </w:r>
          <w:r>
            <w:rPr>
              <w:rStyle w:val="21"/>
            </w:rPr>
            <w:t>3.4.4. Giải pháp 21. Triển khai Chương trình phát triển cộng đồng ĐMST mở và văn hóa đổi mới sáng tạo</w:t>
          </w:r>
          <w:r>
            <w:tab/>
          </w:r>
          <w:r>
            <w:fldChar w:fldCharType="begin"/>
          </w:r>
          <w:r>
            <w:instrText xml:space="preserve"> PAGEREF _Toc233183687 \h </w:instrText>
          </w:r>
          <w:r>
            <w:fldChar w:fldCharType="separate"/>
          </w:r>
          <w:r>
            <w:t>70</w:t>
          </w:r>
          <w:r>
            <w:fldChar w:fldCharType="end"/>
          </w:r>
          <w:r>
            <w:fldChar w:fldCharType="end"/>
          </w:r>
        </w:p>
        <w:p w14:paraId="3034BF01">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"_Toc233183688" </w:instrText>
          </w:r>
          <w:r>
            <w:fldChar w:fldCharType="separate"/>
          </w:r>
          <w:r>
            <w:rPr>
              <w:rStyle w:val="21"/>
            </w:rPr>
            <w:t>3.5. Nhóm giải pháp nâng cao vị thế ĐMST của tỉnh Ninh Bình</w:t>
          </w:r>
          <w:r>
            <w:tab/>
          </w:r>
          <w:r>
            <w:fldChar w:fldCharType="begin"/>
          </w:r>
          <w:r>
            <w:instrText xml:space="preserve"> PAGEREF _Toc233183688 \h </w:instrText>
          </w:r>
          <w:r>
            <w:fldChar w:fldCharType="separate"/>
          </w:r>
          <w:r>
            <w:t>71</w:t>
          </w:r>
          <w:r>
            <w:fldChar w:fldCharType="end"/>
          </w:r>
          <w:r>
            <w:fldChar w:fldCharType="end"/>
          </w:r>
        </w:p>
        <w:p w14:paraId="72906380">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"_Toc233183689" </w:instrText>
          </w:r>
          <w:r>
            <w:fldChar w:fldCharType="separate"/>
          </w:r>
          <w:r>
            <w:rPr>
              <w:rStyle w:val="21"/>
            </w:rPr>
            <w:t>3.5.1. Giải pháp 22. Triển khai Chương trình nâng cao Chỉ số đổi mới sáng tạo cấp địa phương (PII)</w:t>
          </w:r>
          <w:r>
            <w:tab/>
          </w:r>
          <w:r>
            <w:fldChar w:fldCharType="begin"/>
          </w:r>
          <w:r>
            <w:instrText xml:space="preserve"> PAGEREF _Toc233183689 \h </w:instrText>
          </w:r>
          <w:r>
            <w:fldChar w:fldCharType="separate"/>
          </w:r>
          <w:r>
            <w:t>71</w:t>
          </w:r>
          <w:r>
            <w:fldChar w:fldCharType="end"/>
          </w:r>
          <w:r>
            <w:fldChar w:fldCharType="end"/>
          </w:r>
        </w:p>
        <w:p w14:paraId="2846130C">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"_Toc233183690" </w:instrText>
          </w:r>
          <w:r>
            <w:fldChar w:fldCharType="separate"/>
          </w:r>
          <w:r>
            <w:rPr>
              <w:rStyle w:val="21"/>
            </w:rPr>
            <w:t>3.5.2. Giải pháp 23. Triển khai Chương trình thúc đẩy chuyển đổi số, ĐMST trong khu vực công và cải cách hành chính</w:t>
          </w:r>
          <w:r>
            <w:tab/>
          </w:r>
          <w:r>
            <w:fldChar w:fldCharType="begin"/>
          </w:r>
          <w:r>
            <w:instrText xml:space="preserve"> PAGEREF _Toc233183690 \h </w:instrText>
          </w:r>
          <w:r>
            <w:fldChar w:fldCharType="separate"/>
          </w:r>
          <w:r>
            <w:t>71</w:t>
          </w:r>
          <w:r>
            <w:fldChar w:fldCharType="end"/>
          </w:r>
          <w:r>
            <w:fldChar w:fldCharType="end"/>
          </w:r>
        </w:p>
        <w:p w14:paraId="23557C44">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"_Toc233183691" </w:instrText>
          </w:r>
          <w:r>
            <w:fldChar w:fldCharType="separate"/>
          </w:r>
          <w:r>
            <w:rPr>
              <w:rStyle w:val="21"/>
            </w:rPr>
            <w:t>3.5.3. Giải pháp 24. Triển khai Chương trình phát triển kinh tế số, nâng cao năng suất và năng lực cạnh tranh của nền kinh tế</w:t>
          </w:r>
          <w:r>
            <w:tab/>
          </w:r>
          <w:r>
            <w:fldChar w:fldCharType="begin"/>
          </w:r>
          <w:r>
            <w:instrText xml:space="preserve"> PAGEREF _Toc233183691 \h </w:instrText>
          </w:r>
          <w:r>
            <w:fldChar w:fldCharType="separate"/>
          </w:r>
          <w:r>
            <w:t>72</w:t>
          </w:r>
          <w:r>
            <w:fldChar w:fldCharType="end"/>
          </w:r>
          <w:r>
            <w:fldChar w:fldCharType="end"/>
          </w:r>
        </w:p>
        <w:p w14:paraId="218D0C6E">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"_Toc233183692" </w:instrText>
          </w:r>
          <w:r>
            <w:fldChar w:fldCharType="separate"/>
          </w:r>
          <w:r>
            <w:rPr>
              <w:rStyle w:val="21"/>
            </w:rPr>
            <w:t xml:space="preserve">IV. ĐỊNH HƯỚNG THIẾT KẾ MÔ HÌNH TỔ CHỨC TRUNG TÂM </w:t>
          </w:r>
          <w:r>
            <w:rPr>
              <w:rStyle w:val="21"/>
              <w:lang w:val="en-GB"/>
            </w:rPr>
            <w:t>ĐMST</w:t>
          </w:r>
          <w:r>
            <w:rPr>
              <w:rStyle w:val="21"/>
            </w:rPr>
            <w:t xml:space="preserve"> TỈNH NINH BÌNH</w:t>
          </w:r>
          <w:r>
            <w:tab/>
          </w:r>
          <w:r>
            <w:fldChar w:fldCharType="begin"/>
          </w:r>
          <w:r>
            <w:instrText xml:space="preserve"> PAGEREF _Toc233183692 \h </w:instrText>
          </w:r>
          <w:r>
            <w:fldChar w:fldCharType="separate"/>
          </w:r>
          <w:r>
            <w:t>72</w:t>
          </w:r>
          <w:r>
            <w:fldChar w:fldCharType="end"/>
          </w:r>
          <w:r>
            <w:fldChar w:fldCharType="end"/>
          </w:r>
        </w:p>
        <w:p w14:paraId="3B2295A1">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"_Toc233183693" </w:instrText>
          </w:r>
          <w:r>
            <w:fldChar w:fldCharType="separate"/>
          </w:r>
          <w:r>
            <w:rPr>
              <w:rStyle w:val="21"/>
            </w:rPr>
            <w:t>4.1. Nguyên tắc thiết kế mô hình</w:t>
          </w:r>
          <w:r>
            <w:tab/>
          </w:r>
          <w:r>
            <w:fldChar w:fldCharType="begin"/>
          </w:r>
          <w:r>
            <w:instrText xml:space="preserve"> PAGEREF _Toc233183693 \h </w:instrText>
          </w:r>
          <w:r>
            <w:fldChar w:fldCharType="separate"/>
          </w:r>
          <w:r>
            <w:t>72</w:t>
          </w:r>
          <w:r>
            <w:fldChar w:fldCharType="end"/>
          </w:r>
          <w:r>
            <w:fldChar w:fldCharType="end"/>
          </w:r>
        </w:p>
        <w:p w14:paraId="38D307C6">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"_Toc233183694" </w:instrText>
          </w:r>
          <w:r>
            <w:fldChar w:fldCharType="separate"/>
          </w:r>
          <w:r>
            <w:rPr>
              <w:rStyle w:val="21"/>
            </w:rPr>
            <w:t>4.2. Cấu trúc chức năng lõi của Trung tâm</w:t>
          </w:r>
          <w:r>
            <w:tab/>
          </w:r>
          <w:r>
            <w:fldChar w:fldCharType="begin"/>
          </w:r>
          <w:r>
            <w:instrText xml:space="preserve"> PAGEREF _Toc233183694 \h </w:instrText>
          </w:r>
          <w:r>
            <w:fldChar w:fldCharType="separate"/>
          </w:r>
          <w:r>
            <w:t>73</w:t>
          </w:r>
          <w:r>
            <w:fldChar w:fldCharType="end"/>
          </w:r>
          <w:r>
            <w:fldChar w:fldCharType="end"/>
          </w:r>
        </w:p>
        <w:p w14:paraId="12DDF8F2">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"_Toc233183695" </w:instrText>
          </w:r>
          <w:r>
            <w:fldChar w:fldCharType="separate"/>
          </w:r>
          <w:r>
            <w:rPr>
              <w:rStyle w:val="21"/>
            </w:rPr>
            <w:t>4.2.1. Chức năng kết nối và điều phối hệ sinh thái</w:t>
          </w:r>
          <w:r>
            <w:tab/>
          </w:r>
          <w:r>
            <w:fldChar w:fldCharType="begin"/>
          </w:r>
          <w:r>
            <w:instrText xml:space="preserve"> PAGEREF _Toc233183695 \h </w:instrText>
          </w:r>
          <w:r>
            <w:fldChar w:fldCharType="separate"/>
          </w:r>
          <w:r>
            <w:t>73</w:t>
          </w:r>
          <w:r>
            <w:fldChar w:fldCharType="end"/>
          </w:r>
          <w:r>
            <w:fldChar w:fldCharType="end"/>
          </w:r>
        </w:p>
        <w:p w14:paraId="68A4105D">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"_Toc233183696" </w:instrText>
          </w:r>
          <w:r>
            <w:fldChar w:fldCharType="separate"/>
          </w:r>
          <w:r>
            <w:rPr>
              <w:rStyle w:val="21"/>
            </w:rPr>
            <w:t>4.2.2. Chức năng phát triển và vận hành hệ sinh thái</w:t>
          </w:r>
          <w:r>
            <w:tab/>
          </w:r>
          <w:r>
            <w:fldChar w:fldCharType="begin"/>
          </w:r>
          <w:r>
            <w:instrText xml:space="preserve"> PAGEREF _Toc233183696 \h </w:instrText>
          </w:r>
          <w:r>
            <w:fldChar w:fldCharType="separate"/>
          </w:r>
          <w:r>
            <w:t>74</w:t>
          </w:r>
          <w:r>
            <w:fldChar w:fldCharType="end"/>
          </w:r>
          <w:r>
            <w:fldChar w:fldCharType="end"/>
          </w:r>
        </w:p>
        <w:p w14:paraId="79149F51">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"_Toc233183697" </w:instrText>
          </w:r>
          <w:r>
            <w:fldChar w:fldCharType="separate"/>
          </w:r>
          <w:r>
            <w:rPr>
              <w:rStyle w:val="21"/>
            </w:rPr>
            <w:t>4.2.3. Chức năng nghiên cứu, ứng dụng và chuyển giao công nghệ</w:t>
          </w:r>
          <w:r>
            <w:tab/>
          </w:r>
          <w:r>
            <w:fldChar w:fldCharType="begin"/>
          </w:r>
          <w:r>
            <w:instrText xml:space="preserve"> PAGEREF _Toc233183697 \h </w:instrText>
          </w:r>
          <w:r>
            <w:fldChar w:fldCharType="separate"/>
          </w:r>
          <w:r>
            <w:t>74</w:t>
          </w:r>
          <w:r>
            <w:fldChar w:fldCharType="end"/>
          </w:r>
          <w:r>
            <w:fldChar w:fldCharType="end"/>
          </w:r>
        </w:p>
        <w:p w14:paraId="2730D6F8">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"_Toc233183698" </w:instrText>
          </w:r>
          <w:r>
            <w:fldChar w:fldCharType="separate"/>
          </w:r>
          <w:r>
            <w:rPr>
              <w:rStyle w:val="21"/>
            </w:rPr>
            <w:t>4.2.4. Chức năng cung cấp dịch vụ hỗ trợ ĐMST</w:t>
          </w:r>
          <w:r>
            <w:tab/>
          </w:r>
          <w:r>
            <w:fldChar w:fldCharType="begin"/>
          </w:r>
          <w:r>
            <w:instrText xml:space="preserve"> PAGEREF _Toc233183698 \h </w:instrText>
          </w:r>
          <w:r>
            <w:fldChar w:fldCharType="separate"/>
          </w:r>
          <w:r>
            <w:t>75</w:t>
          </w:r>
          <w:r>
            <w:fldChar w:fldCharType="end"/>
          </w:r>
          <w:r>
            <w:fldChar w:fldCharType="end"/>
          </w:r>
        </w:p>
        <w:p w14:paraId="17B3BB31">
          <w:pPr>
            <w:pStyle w:val="31"/>
            <w:tabs>
              <w:tab w:val="right" w:leader="dot" w:pos="8990"/>
            </w:tabs>
            <w:rPr>
              <w:rFonts w:asciiTheme="minorHAnsi" w:hAnsiTheme="minorHAnsi" w:eastAsiaTheme="minorEastAsia" w:cstheme="minorBidi"/>
              <w:i w:val="0"/>
              <w:kern w:val="2"/>
              <w:lang w:val="zh-CN" w:eastAsia="ja-JP"/>
              <w14:ligatures w14:val="standardContextual"/>
            </w:rPr>
          </w:pPr>
          <w:r>
            <w:fldChar w:fldCharType="begin"/>
          </w:r>
          <w:r>
            <w:instrText xml:space="preserve"> HYPERLINK \l "_Toc233183699" </w:instrText>
          </w:r>
          <w:r>
            <w:fldChar w:fldCharType="separate"/>
          </w:r>
          <w:r>
            <w:rPr>
              <w:rStyle w:val="21"/>
            </w:rPr>
            <w:t>4.2.5. Chức năng dữ liệu, thông tin và đo lường hệ sinh thái</w:t>
          </w:r>
          <w:r>
            <w:tab/>
          </w:r>
          <w:r>
            <w:fldChar w:fldCharType="begin"/>
          </w:r>
          <w:r>
            <w:instrText xml:space="preserve"> PAGEREF _Toc233183699 \h </w:instrText>
          </w:r>
          <w:r>
            <w:fldChar w:fldCharType="separate"/>
          </w:r>
          <w:r>
            <w:t>75</w:t>
          </w:r>
          <w:r>
            <w:fldChar w:fldCharType="end"/>
          </w:r>
          <w:r>
            <w:fldChar w:fldCharType="end"/>
          </w:r>
        </w:p>
        <w:p w14:paraId="65210B22">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"_Toc233183700" </w:instrText>
          </w:r>
          <w:r>
            <w:fldChar w:fldCharType="separate"/>
          </w:r>
          <w:r>
            <w:rPr>
              <w:rStyle w:val="21"/>
            </w:rPr>
            <w:t>4.3. Mô hình tổ chức và vận hành</w:t>
          </w:r>
          <w:r>
            <w:tab/>
          </w:r>
          <w:r>
            <w:fldChar w:fldCharType="begin"/>
          </w:r>
          <w:r>
            <w:instrText xml:space="preserve"> PAGEREF _Toc233183700 \h </w:instrText>
          </w:r>
          <w:r>
            <w:fldChar w:fldCharType="separate"/>
          </w:r>
          <w:r>
            <w:t>76</w:t>
          </w:r>
          <w:r>
            <w:fldChar w:fldCharType="end"/>
          </w:r>
          <w:r>
            <w:fldChar w:fldCharType="end"/>
          </w:r>
        </w:p>
        <w:p w14:paraId="3FB50A5E">
          <w:pPr>
            <w:pStyle w:val="28"/>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"_Toc233183701" </w:instrText>
          </w:r>
          <w:r>
            <w:fldChar w:fldCharType="separate"/>
          </w:r>
          <w:r>
            <w:rPr>
              <w:rStyle w:val="21"/>
              <w:lang w:val="vi-VN"/>
            </w:rPr>
            <w:t>PHẦN VI – LỘ TRÌNH PHÁT TRIỂN HỆ SINH THÁI ĐMST TỈNH NINH BÌNH</w:t>
          </w:r>
          <w:r>
            <w:tab/>
          </w:r>
          <w:r>
            <w:fldChar w:fldCharType="begin"/>
          </w:r>
          <w:r>
            <w:instrText xml:space="preserve"> PAGEREF _Toc233183701 \h </w:instrText>
          </w:r>
          <w:r>
            <w:fldChar w:fldCharType="separate"/>
          </w:r>
          <w:r>
            <w:t>78</w:t>
          </w:r>
          <w:r>
            <w:fldChar w:fldCharType="end"/>
          </w:r>
          <w:r>
            <w:fldChar w:fldCharType="end"/>
          </w:r>
        </w:p>
        <w:p w14:paraId="1F5B8B05">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"_Toc233183702" </w:instrText>
          </w:r>
          <w:r>
            <w:fldChar w:fldCharType="separate"/>
          </w:r>
          <w:r>
            <w:rPr>
              <w:rStyle w:val="21"/>
            </w:rPr>
            <w:t>I. GIAI ĐOẠN 1 (2026–2027): Xây dựng nền tảng hệ sinh thái ĐMST</w:t>
          </w:r>
          <w:r>
            <w:tab/>
          </w:r>
          <w:r>
            <w:fldChar w:fldCharType="begin"/>
          </w:r>
          <w:r>
            <w:instrText xml:space="preserve"> PAGEREF _Toc233183702 \h </w:instrText>
          </w:r>
          <w:r>
            <w:fldChar w:fldCharType="separate"/>
          </w:r>
          <w:r>
            <w:t>78</w:t>
          </w:r>
          <w:r>
            <w:fldChar w:fldCharType="end"/>
          </w:r>
          <w:r>
            <w:fldChar w:fldCharType="end"/>
          </w:r>
        </w:p>
        <w:p w14:paraId="15F1149D">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"_Toc233183703" </w:instrText>
          </w:r>
          <w:r>
            <w:fldChar w:fldCharType="separate"/>
          </w:r>
          <w:r>
            <w:rPr>
              <w:rStyle w:val="21"/>
            </w:rPr>
            <w:t>1.1. Nhiệm vụ trọng tâm:</w:t>
          </w:r>
          <w:r>
            <w:tab/>
          </w:r>
          <w:r>
            <w:fldChar w:fldCharType="begin"/>
          </w:r>
          <w:r>
            <w:instrText xml:space="preserve"> PAGEREF _Toc233183703 \h </w:instrText>
          </w:r>
          <w:r>
            <w:fldChar w:fldCharType="separate"/>
          </w:r>
          <w:r>
            <w:t>78</w:t>
          </w:r>
          <w:r>
            <w:fldChar w:fldCharType="end"/>
          </w:r>
          <w:r>
            <w:fldChar w:fldCharType="end"/>
          </w:r>
        </w:p>
        <w:p w14:paraId="5CB07DAF">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"_Toc233183704" </w:instrText>
          </w:r>
          <w:r>
            <w:fldChar w:fldCharType="separate"/>
          </w:r>
          <w:r>
            <w:rPr>
              <w:rStyle w:val="21"/>
            </w:rPr>
            <w:t>1.2. Các kết quả cần hoàn thành</w:t>
          </w:r>
          <w:r>
            <w:tab/>
          </w:r>
          <w:r>
            <w:fldChar w:fldCharType="begin"/>
          </w:r>
          <w:r>
            <w:instrText xml:space="preserve"> PAGEREF _Toc233183704 \h </w:instrText>
          </w:r>
          <w:r>
            <w:fldChar w:fldCharType="separate"/>
          </w:r>
          <w:r>
            <w:t>78</w:t>
          </w:r>
          <w:r>
            <w:fldChar w:fldCharType="end"/>
          </w:r>
          <w:r>
            <w:fldChar w:fldCharType="end"/>
          </w:r>
        </w:p>
        <w:p w14:paraId="79D29AAE">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"_Toc233183705" </w:instrText>
          </w:r>
          <w:r>
            <w:fldChar w:fldCharType="separate"/>
          </w:r>
          <w:r>
            <w:rPr>
              <w:rStyle w:val="21"/>
            </w:rPr>
            <w:t>1.3. Chỉ tiêu và mốc hoàn thành giai đoạn 1</w:t>
          </w:r>
          <w:r>
            <w:tab/>
          </w:r>
          <w:r>
            <w:fldChar w:fldCharType="begin"/>
          </w:r>
          <w:r>
            <w:instrText xml:space="preserve"> PAGEREF _Toc233183705 \h </w:instrText>
          </w:r>
          <w:r>
            <w:fldChar w:fldCharType="separate"/>
          </w:r>
          <w:r>
            <w:t>79</w:t>
          </w:r>
          <w:r>
            <w:fldChar w:fldCharType="end"/>
          </w:r>
          <w:r>
            <w:fldChar w:fldCharType="end"/>
          </w:r>
        </w:p>
        <w:p w14:paraId="1F850BEF">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"_Toc233183706" </w:instrText>
          </w:r>
          <w:r>
            <w:fldChar w:fldCharType="separate"/>
          </w:r>
          <w:r>
            <w:rPr>
              <w:rStyle w:val="21"/>
            </w:rPr>
            <w:t>II. GIAI ĐOẠN 2 (2027–2028): Phát triển các trung tâm ĐMST chuyên ngành</w:t>
          </w:r>
          <w:r>
            <w:tab/>
          </w:r>
          <w:r>
            <w:fldChar w:fldCharType="begin"/>
          </w:r>
          <w:r>
            <w:instrText xml:space="preserve"> PAGEREF _Toc233183706 \h </w:instrText>
          </w:r>
          <w:r>
            <w:fldChar w:fldCharType="separate"/>
          </w:r>
          <w:r>
            <w:t>80</w:t>
          </w:r>
          <w:r>
            <w:fldChar w:fldCharType="end"/>
          </w:r>
          <w:r>
            <w:fldChar w:fldCharType="end"/>
          </w:r>
        </w:p>
        <w:p w14:paraId="4E2799EE">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"_Toc233183707" </w:instrText>
          </w:r>
          <w:r>
            <w:fldChar w:fldCharType="separate"/>
          </w:r>
          <w:r>
            <w:rPr>
              <w:rStyle w:val="21"/>
            </w:rPr>
            <w:t>2.1. Nhiệm vụ trọng tâm:</w:t>
          </w:r>
          <w:r>
            <w:tab/>
          </w:r>
          <w:r>
            <w:fldChar w:fldCharType="begin"/>
          </w:r>
          <w:r>
            <w:instrText xml:space="preserve"> PAGEREF _Toc233183707 \h </w:instrText>
          </w:r>
          <w:r>
            <w:fldChar w:fldCharType="separate"/>
          </w:r>
          <w:r>
            <w:t>80</w:t>
          </w:r>
          <w:r>
            <w:fldChar w:fldCharType="end"/>
          </w:r>
          <w:r>
            <w:fldChar w:fldCharType="end"/>
          </w:r>
        </w:p>
        <w:p w14:paraId="60490B96">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"_Toc233183708" </w:instrText>
          </w:r>
          <w:r>
            <w:fldChar w:fldCharType="separate"/>
          </w:r>
          <w:r>
            <w:rPr>
              <w:rStyle w:val="21"/>
            </w:rPr>
            <w:t>2.2. Các kết quả cần hoàn thành</w:t>
          </w:r>
          <w:r>
            <w:tab/>
          </w:r>
          <w:r>
            <w:fldChar w:fldCharType="begin"/>
          </w:r>
          <w:r>
            <w:instrText xml:space="preserve"> PAGEREF _Toc233183708 \h </w:instrText>
          </w:r>
          <w:r>
            <w:fldChar w:fldCharType="separate"/>
          </w:r>
          <w:r>
            <w:t>80</w:t>
          </w:r>
          <w:r>
            <w:fldChar w:fldCharType="end"/>
          </w:r>
          <w:r>
            <w:fldChar w:fldCharType="end"/>
          </w:r>
        </w:p>
        <w:p w14:paraId="6D4E684F">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"_Toc233183709" </w:instrText>
          </w:r>
          <w:r>
            <w:fldChar w:fldCharType="separate"/>
          </w:r>
          <w:r>
            <w:rPr>
              <w:rStyle w:val="21"/>
            </w:rPr>
            <w:t>2.3. Chỉ tiêu và mốc hoàn thành giai đoạn 2</w:t>
          </w:r>
          <w:r>
            <w:tab/>
          </w:r>
          <w:r>
            <w:fldChar w:fldCharType="begin"/>
          </w:r>
          <w:r>
            <w:instrText xml:space="preserve"> PAGEREF _Toc233183709 \h </w:instrText>
          </w:r>
          <w:r>
            <w:fldChar w:fldCharType="separate"/>
          </w:r>
          <w:r>
            <w:t>81</w:t>
          </w:r>
          <w:r>
            <w:fldChar w:fldCharType="end"/>
          </w:r>
          <w:r>
            <w:fldChar w:fldCharType="end"/>
          </w:r>
        </w:p>
        <w:p w14:paraId="74049156">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"_Toc233183710" </w:instrText>
          </w:r>
          <w:r>
            <w:fldChar w:fldCharType="separate"/>
          </w:r>
          <w:r>
            <w:rPr>
              <w:rStyle w:val="21"/>
            </w:rPr>
            <w:t>III. GIAI ĐOẠN 3 (2029–2030): Mở rộng và hoàn thiện hệ sinh thái ĐMST trên phạm vi toàn tỉnh</w:t>
          </w:r>
          <w:r>
            <w:tab/>
          </w:r>
          <w:r>
            <w:fldChar w:fldCharType="begin"/>
          </w:r>
          <w:r>
            <w:instrText xml:space="preserve"> PAGEREF _Toc233183710 \h </w:instrText>
          </w:r>
          <w:r>
            <w:fldChar w:fldCharType="separate"/>
          </w:r>
          <w:r>
            <w:t>82</w:t>
          </w:r>
          <w:r>
            <w:fldChar w:fldCharType="end"/>
          </w:r>
          <w:r>
            <w:fldChar w:fldCharType="end"/>
          </w:r>
        </w:p>
        <w:p w14:paraId="6E488CFF">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"_Toc233183711" </w:instrText>
          </w:r>
          <w:r>
            <w:fldChar w:fldCharType="separate"/>
          </w:r>
          <w:r>
            <w:rPr>
              <w:rStyle w:val="21"/>
            </w:rPr>
            <w:t>3.1. Nhiệm vụ trọng tâm:</w:t>
          </w:r>
          <w:r>
            <w:tab/>
          </w:r>
          <w:r>
            <w:fldChar w:fldCharType="begin"/>
          </w:r>
          <w:r>
            <w:instrText xml:space="preserve"> PAGEREF _Toc233183711 \h </w:instrText>
          </w:r>
          <w:r>
            <w:fldChar w:fldCharType="separate"/>
          </w:r>
          <w:r>
            <w:t>82</w:t>
          </w:r>
          <w:r>
            <w:fldChar w:fldCharType="end"/>
          </w:r>
          <w:r>
            <w:fldChar w:fldCharType="end"/>
          </w:r>
        </w:p>
        <w:p w14:paraId="7055FD1B">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"_Toc233183712" </w:instrText>
          </w:r>
          <w:r>
            <w:fldChar w:fldCharType="separate"/>
          </w:r>
          <w:r>
            <w:rPr>
              <w:rStyle w:val="21"/>
            </w:rPr>
            <w:t>3.3. Chỉ tiêu và mốc hoàn thành giai đoạn 3</w:t>
          </w:r>
          <w:r>
            <w:tab/>
          </w:r>
          <w:r>
            <w:fldChar w:fldCharType="begin"/>
          </w:r>
          <w:r>
            <w:instrText xml:space="preserve"> PAGEREF _Toc233183712 \h </w:instrText>
          </w:r>
          <w:r>
            <w:fldChar w:fldCharType="separate"/>
          </w:r>
          <w:r>
            <w:t>83</w:t>
          </w:r>
          <w:r>
            <w:fldChar w:fldCharType="end"/>
          </w:r>
          <w:r>
            <w:fldChar w:fldCharType="end"/>
          </w:r>
        </w:p>
        <w:p w14:paraId="2DDBF95C">
          <w:pPr>
            <w:pStyle w:val="28"/>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"_Toc233183713" </w:instrText>
          </w:r>
          <w:r>
            <w:fldChar w:fldCharType="separate"/>
          </w:r>
          <w:r>
            <w:rPr>
              <w:rStyle w:val="21"/>
              <w:lang w:val="vi-VN"/>
            </w:rPr>
            <w:t>PHẦN VII -  CÁC NHIỆM VỤ CẦN TRIỂN KHAI</w:t>
          </w:r>
          <w:r>
            <w:tab/>
          </w:r>
          <w:r>
            <w:fldChar w:fldCharType="begin"/>
          </w:r>
          <w:r>
            <w:instrText xml:space="preserve"> PAGEREF _Toc233183713 \h </w:instrText>
          </w:r>
          <w:r>
            <w:fldChar w:fldCharType="separate"/>
          </w:r>
          <w:r>
            <w:t>84</w:t>
          </w:r>
          <w:r>
            <w:fldChar w:fldCharType="end"/>
          </w:r>
          <w:r>
            <w:fldChar w:fldCharType="end"/>
          </w:r>
        </w:p>
        <w:p w14:paraId="6AF9FE55">
          <w:pPr>
            <w:pStyle w:val="28"/>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"_Toc233183714" </w:instrText>
          </w:r>
          <w:r>
            <w:fldChar w:fldCharType="separate"/>
          </w:r>
          <w:r>
            <w:rPr>
              <w:rStyle w:val="21"/>
              <w:lang w:val="vi-VN"/>
            </w:rPr>
            <w:t>PHẦN VIII – TỔ CHỨC THỰC HIỆN</w:t>
          </w:r>
          <w:r>
            <w:tab/>
          </w:r>
          <w:r>
            <w:fldChar w:fldCharType="begin"/>
          </w:r>
          <w:r>
            <w:instrText xml:space="preserve"> PAGEREF _Toc233183714 \h </w:instrText>
          </w:r>
          <w:r>
            <w:fldChar w:fldCharType="separate"/>
          </w:r>
          <w:r>
            <w:t>85</w:t>
          </w:r>
          <w:r>
            <w:fldChar w:fldCharType="end"/>
          </w:r>
          <w:r>
            <w:fldChar w:fldCharType="end"/>
          </w:r>
        </w:p>
        <w:p w14:paraId="139F00C3">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"_Toc233183715" </w:instrText>
          </w:r>
          <w:r>
            <w:fldChar w:fldCharType="separate"/>
          </w:r>
          <w:r>
            <w:rPr>
              <w:rStyle w:val="21"/>
            </w:rPr>
            <w:t>I. PHÂN CÔNG TRÁCH NHIỆM</w:t>
          </w:r>
          <w:r>
            <w:tab/>
          </w:r>
          <w:r>
            <w:fldChar w:fldCharType="begin"/>
          </w:r>
          <w:r>
            <w:instrText xml:space="preserve"> PAGEREF _Toc233183715 \h </w:instrText>
          </w:r>
          <w:r>
            <w:fldChar w:fldCharType="separate"/>
          </w:r>
          <w:r>
            <w:t>85</w:t>
          </w:r>
          <w:r>
            <w:fldChar w:fldCharType="end"/>
          </w:r>
          <w:r>
            <w:fldChar w:fldCharType="end"/>
          </w:r>
        </w:p>
        <w:p w14:paraId="55ECF24F">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"_Toc233183716" </w:instrText>
          </w:r>
          <w:r>
            <w:fldChar w:fldCharType="separate"/>
          </w:r>
          <w:r>
            <w:rPr>
              <w:rStyle w:val="21"/>
            </w:rPr>
            <w:t>1.1. Sở Khoa học và Công nghệ (Cơ quan chủ trì)</w:t>
          </w:r>
          <w:r>
            <w:tab/>
          </w:r>
          <w:r>
            <w:fldChar w:fldCharType="begin"/>
          </w:r>
          <w:r>
            <w:instrText xml:space="preserve"> PAGEREF _Toc233183716 \h </w:instrText>
          </w:r>
          <w:r>
            <w:fldChar w:fldCharType="separate"/>
          </w:r>
          <w:r>
            <w:t>85</w:t>
          </w:r>
          <w:r>
            <w:fldChar w:fldCharType="end"/>
          </w:r>
          <w:r>
            <w:fldChar w:fldCharType="end"/>
          </w:r>
        </w:p>
        <w:p w14:paraId="7E18A6C0">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"_Toc233183717" </w:instrText>
          </w:r>
          <w:r>
            <w:fldChar w:fldCharType="separate"/>
          </w:r>
          <w:r>
            <w:rPr>
              <w:rStyle w:val="21"/>
            </w:rPr>
            <w:t>1.2. Sở Nội vụ và Sở Giáo dục &amp; Đào tạo (Nhân lực – Nhân tài)</w:t>
          </w:r>
          <w:r>
            <w:tab/>
          </w:r>
          <w:r>
            <w:fldChar w:fldCharType="begin"/>
          </w:r>
          <w:r>
            <w:instrText xml:space="preserve"> PAGEREF _Toc233183717 \h </w:instrText>
          </w:r>
          <w:r>
            <w:fldChar w:fldCharType="separate"/>
          </w:r>
          <w:r>
            <w:t>86</w:t>
          </w:r>
          <w:r>
            <w:fldChar w:fldCharType="end"/>
          </w:r>
          <w:r>
            <w:fldChar w:fldCharType="end"/>
          </w:r>
        </w:p>
        <w:p w14:paraId="12C1FCBA">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"_Toc233183718" </w:instrText>
          </w:r>
          <w:r>
            <w:fldChar w:fldCharType="separate"/>
          </w:r>
          <w:r>
            <w:rPr>
              <w:rStyle w:val="21"/>
            </w:rPr>
            <w:t>1.3. Sở Tài chính (Nguồn lực và Cơ chế tài chính)</w:t>
          </w:r>
          <w:r>
            <w:tab/>
          </w:r>
          <w:r>
            <w:fldChar w:fldCharType="begin"/>
          </w:r>
          <w:r>
            <w:instrText xml:space="preserve"> PAGEREF _Toc233183718 \h </w:instrText>
          </w:r>
          <w:r>
            <w:fldChar w:fldCharType="separate"/>
          </w:r>
          <w:r>
            <w:t>87</w:t>
          </w:r>
          <w:r>
            <w:fldChar w:fldCharType="end"/>
          </w:r>
          <w:r>
            <w:fldChar w:fldCharType="end"/>
          </w:r>
        </w:p>
        <w:p w14:paraId="3709317B">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"_Toc233183719" </w:instrText>
          </w:r>
          <w:r>
            <w:fldChar w:fldCharType="separate"/>
          </w:r>
          <w:r>
            <w:rPr>
              <w:rStyle w:val="21"/>
            </w:rPr>
            <w:t>1.4. Sở Nông nghiệp và Môi trường (Ngành nông nghiệp, sinh thái)</w:t>
          </w:r>
          <w:r>
            <w:tab/>
          </w:r>
          <w:r>
            <w:fldChar w:fldCharType="begin"/>
          </w:r>
          <w:r>
            <w:instrText xml:space="preserve"> PAGEREF _Toc233183719 \h </w:instrText>
          </w:r>
          <w:r>
            <w:fldChar w:fldCharType="separate"/>
          </w:r>
          <w:r>
            <w:t>87</w:t>
          </w:r>
          <w:r>
            <w:fldChar w:fldCharType="end"/>
          </w:r>
          <w:r>
            <w:fldChar w:fldCharType="end"/>
          </w:r>
        </w:p>
        <w:p w14:paraId="76BC0137">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"_Toc233183720" </w:instrText>
          </w:r>
          <w:r>
            <w:fldChar w:fldCharType="separate"/>
          </w:r>
          <w:r>
            <w:rPr>
              <w:rStyle w:val="21"/>
            </w:rPr>
            <w:t>1.5. Sở Xây dựng (Hạ tầng kỹ thuật)</w:t>
          </w:r>
          <w:r>
            <w:tab/>
          </w:r>
          <w:r>
            <w:fldChar w:fldCharType="begin"/>
          </w:r>
          <w:r>
            <w:instrText xml:space="preserve"> PAGEREF _Toc233183720 \h </w:instrText>
          </w:r>
          <w:r>
            <w:fldChar w:fldCharType="separate"/>
          </w:r>
          <w:r>
            <w:t>88</w:t>
          </w:r>
          <w:r>
            <w:fldChar w:fldCharType="end"/>
          </w:r>
          <w:r>
            <w:fldChar w:fldCharType="end"/>
          </w:r>
        </w:p>
        <w:p w14:paraId="25878A67">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"_Toc233183721" </w:instrText>
          </w:r>
          <w:r>
            <w:fldChar w:fldCharType="separate"/>
          </w:r>
          <w:r>
            <w:rPr>
              <w:rStyle w:val="21"/>
            </w:rPr>
            <w:t>1.6. Sở Du lịch và Sở Văn hóa (Ngành du lịch – văn hóa)</w:t>
          </w:r>
          <w:r>
            <w:tab/>
          </w:r>
          <w:r>
            <w:fldChar w:fldCharType="begin"/>
          </w:r>
          <w:r>
            <w:instrText xml:space="preserve"> PAGEREF _Toc233183721 \h </w:instrText>
          </w:r>
          <w:r>
            <w:fldChar w:fldCharType="separate"/>
          </w:r>
          <w:r>
            <w:t>88</w:t>
          </w:r>
          <w:r>
            <w:fldChar w:fldCharType="end"/>
          </w:r>
          <w:r>
            <w:fldChar w:fldCharType="end"/>
          </w:r>
        </w:p>
        <w:p w14:paraId="5BD548CA">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"_Toc233183722" </w:instrText>
          </w:r>
          <w:r>
            <w:fldChar w:fldCharType="separate"/>
          </w:r>
          <w:r>
            <w:rPr>
              <w:rStyle w:val="21"/>
            </w:rPr>
            <w:t>1.7. Sở Công Thương (Hỗ trợ doanh nghiệp và thị trường)</w:t>
          </w:r>
          <w:r>
            <w:tab/>
          </w:r>
          <w:r>
            <w:fldChar w:fldCharType="begin"/>
          </w:r>
          <w:r>
            <w:instrText xml:space="preserve"> PAGEREF _Toc233183722 \h </w:instrText>
          </w:r>
          <w:r>
            <w:fldChar w:fldCharType="separate"/>
          </w:r>
          <w:r>
            <w:t>88</w:t>
          </w:r>
          <w:r>
            <w:fldChar w:fldCharType="end"/>
          </w:r>
          <w:r>
            <w:fldChar w:fldCharType="end"/>
          </w:r>
        </w:p>
        <w:p w14:paraId="20565024">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"_Toc233183723" </w:instrText>
          </w:r>
          <w:r>
            <w:fldChar w:fldCharType="separate"/>
          </w:r>
          <w:r>
            <w:rPr>
              <w:rStyle w:val="21"/>
            </w:rPr>
            <w:t>1.8. Sở Y tế (Ngành y tế – khoa học sự sống)</w:t>
          </w:r>
          <w:r>
            <w:tab/>
          </w:r>
          <w:r>
            <w:fldChar w:fldCharType="begin"/>
          </w:r>
          <w:r>
            <w:instrText xml:space="preserve"> PAGEREF _Toc233183723 \h </w:instrText>
          </w:r>
          <w:r>
            <w:fldChar w:fldCharType="separate"/>
          </w:r>
          <w:r>
            <w:t>89</w:t>
          </w:r>
          <w:r>
            <w:fldChar w:fldCharType="end"/>
          </w:r>
          <w:r>
            <w:fldChar w:fldCharType="end"/>
          </w:r>
        </w:p>
        <w:p w14:paraId="2A4D37FE">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"_Toc233183724" </w:instrText>
          </w:r>
          <w:r>
            <w:fldChar w:fldCharType="separate"/>
          </w:r>
          <w:r>
            <w:rPr>
              <w:rStyle w:val="21"/>
            </w:rPr>
            <w:t>1.9. Sở Tư pháp (Chính sách và Hành lang pháp lý)</w:t>
          </w:r>
          <w:r>
            <w:tab/>
          </w:r>
          <w:r>
            <w:fldChar w:fldCharType="begin"/>
          </w:r>
          <w:r>
            <w:instrText xml:space="preserve"> PAGEREF _Toc233183724 \h </w:instrText>
          </w:r>
          <w:r>
            <w:fldChar w:fldCharType="separate"/>
          </w:r>
          <w:r>
            <w:t>89</w:t>
          </w:r>
          <w:r>
            <w:fldChar w:fldCharType="end"/>
          </w:r>
          <w:r>
            <w:fldChar w:fldCharType="end"/>
          </w:r>
        </w:p>
        <w:p w14:paraId="6F69C69D">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"_Toc233183725" </w:instrText>
          </w:r>
          <w:r>
            <w:fldChar w:fldCharType="separate"/>
          </w:r>
          <w:r>
            <w:rPr>
              <w:rStyle w:val="21"/>
            </w:rPr>
            <w:t>1.10. Văn phòng UBND tỉnh và các Sở, Ban, Ngành khác (Hỗ trợ điều phối)</w:t>
          </w:r>
          <w:r>
            <w:tab/>
          </w:r>
          <w:r>
            <w:fldChar w:fldCharType="begin"/>
          </w:r>
          <w:r>
            <w:instrText xml:space="preserve"> PAGEREF _Toc233183725 \h </w:instrText>
          </w:r>
          <w:r>
            <w:fldChar w:fldCharType="separate"/>
          </w:r>
          <w:r>
            <w:t>89</w:t>
          </w:r>
          <w:r>
            <w:fldChar w:fldCharType="end"/>
          </w:r>
          <w:r>
            <w:fldChar w:fldCharType="end"/>
          </w:r>
        </w:p>
        <w:p w14:paraId="47F56FD8">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"_Toc233183726" </w:instrText>
          </w:r>
          <w:r>
            <w:fldChar w:fldCharType="separate"/>
          </w:r>
          <w:r>
            <w:rPr>
              <w:rStyle w:val="21"/>
            </w:rPr>
            <w:t>II. CƠ CHẾ VẬN HÀNH VÀ GIÁM SÁT</w:t>
          </w:r>
          <w:r>
            <w:tab/>
          </w:r>
          <w:r>
            <w:fldChar w:fldCharType="begin"/>
          </w:r>
          <w:r>
            <w:instrText xml:space="preserve"> PAGEREF _Toc233183726 \h </w:instrText>
          </w:r>
          <w:r>
            <w:fldChar w:fldCharType="separate"/>
          </w:r>
          <w:r>
            <w:t>90</w:t>
          </w:r>
          <w:r>
            <w:fldChar w:fldCharType="end"/>
          </w:r>
          <w:r>
            <w:fldChar w:fldCharType="end"/>
          </w:r>
        </w:p>
        <w:p w14:paraId="2DD08038">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"_Toc233183727" </w:instrText>
          </w:r>
          <w:r>
            <w:fldChar w:fldCharType="separate"/>
          </w:r>
          <w:r>
            <w:rPr>
              <w:rStyle w:val="21"/>
            </w:rPr>
            <w:t>2.1. Chế độ báo cáo và đánh giá</w:t>
          </w:r>
          <w:r>
            <w:tab/>
          </w:r>
          <w:r>
            <w:fldChar w:fldCharType="begin"/>
          </w:r>
          <w:r>
            <w:instrText xml:space="preserve"> PAGEREF _Toc233183727 \h </w:instrText>
          </w:r>
          <w:r>
            <w:fldChar w:fldCharType="separate"/>
          </w:r>
          <w:r>
            <w:t>90</w:t>
          </w:r>
          <w:r>
            <w:fldChar w:fldCharType="end"/>
          </w:r>
          <w:r>
            <w:fldChar w:fldCharType="end"/>
          </w:r>
        </w:p>
        <w:p w14:paraId="32D3BA83">
          <w:pPr>
            <w:pStyle w:val="30"/>
            <w:tabs>
              <w:tab w:val="right" w:leader="dot" w:pos="8990"/>
            </w:tabs>
            <w:rPr>
              <w:rFonts w:asciiTheme="minorHAnsi" w:hAnsiTheme="minorHAnsi" w:eastAsiaTheme="minorEastAsia" w:cstheme="minorBidi"/>
              <w:b w:val="0"/>
              <w:i w:val="0"/>
              <w:kern w:val="2"/>
              <w:lang w:val="zh-CN" w:eastAsia="ja-JP"/>
              <w14:ligatures w14:val="standardContextual"/>
            </w:rPr>
          </w:pPr>
          <w:r>
            <w:fldChar w:fldCharType="begin"/>
          </w:r>
          <w:r>
            <w:instrText xml:space="preserve"> HYPERLINK \l "_Toc233183728" </w:instrText>
          </w:r>
          <w:r>
            <w:fldChar w:fldCharType="separate"/>
          </w:r>
          <w:r>
            <w:rPr>
              <w:rStyle w:val="21"/>
            </w:rPr>
            <w:t>2.2. Cơ chế theo dõi và điều chỉnh</w:t>
          </w:r>
          <w:r>
            <w:tab/>
          </w:r>
          <w:r>
            <w:fldChar w:fldCharType="begin"/>
          </w:r>
          <w:r>
            <w:instrText xml:space="preserve"> PAGEREF _Toc233183728 \h </w:instrText>
          </w:r>
          <w:r>
            <w:fldChar w:fldCharType="separate"/>
          </w:r>
          <w:r>
            <w:t>90</w:t>
          </w:r>
          <w:r>
            <w:fldChar w:fldCharType="end"/>
          </w:r>
          <w:r>
            <w:fldChar w:fldCharType="end"/>
          </w:r>
        </w:p>
        <w:p w14:paraId="7FA70914">
          <w:pPr>
            <w:pStyle w:val="29"/>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"_Toc233183729" </w:instrText>
          </w:r>
          <w:r>
            <w:fldChar w:fldCharType="separate"/>
          </w:r>
          <w:r>
            <w:rPr>
              <w:rStyle w:val="21"/>
            </w:rPr>
            <w:t>III. CAM KẾT THỰC HIỆN VÀ TINH THẦN ĐỔI MỚI</w:t>
          </w:r>
          <w:r>
            <w:tab/>
          </w:r>
          <w:r>
            <w:fldChar w:fldCharType="begin"/>
          </w:r>
          <w:r>
            <w:instrText xml:space="preserve"> PAGEREF _Toc233183729 \h </w:instrText>
          </w:r>
          <w:r>
            <w:fldChar w:fldCharType="separate"/>
          </w:r>
          <w:r>
            <w:t>91</w:t>
          </w:r>
          <w:r>
            <w:fldChar w:fldCharType="end"/>
          </w:r>
          <w:r>
            <w:fldChar w:fldCharType="end"/>
          </w:r>
        </w:p>
        <w:p w14:paraId="46144E22">
          <w:pPr>
            <w:pStyle w:val="28"/>
            <w:tabs>
              <w:tab w:val="right" w:leader="dot" w:pos="8990"/>
            </w:tabs>
            <w:rPr>
              <w:rFonts w:asciiTheme="minorHAnsi" w:hAnsiTheme="minorHAnsi" w:eastAsiaTheme="minorEastAsia" w:cstheme="minorBidi"/>
              <w:b w:val="0"/>
              <w:kern w:val="2"/>
              <w:lang w:val="zh-CN" w:eastAsia="ja-JP"/>
              <w14:ligatures w14:val="standardContextual"/>
            </w:rPr>
          </w:pPr>
          <w:r>
            <w:fldChar w:fldCharType="begin"/>
          </w:r>
          <w:r>
            <w:instrText xml:space="preserve"> HYPERLINK \l "_Toc233183730" </w:instrText>
          </w:r>
          <w:r>
            <w:fldChar w:fldCharType="separate"/>
          </w:r>
          <w:r>
            <w:rPr>
              <w:rStyle w:val="21"/>
              <w:lang w:val="vi-VN"/>
            </w:rPr>
            <w:t>PHỤ LỤC: KINH NGHIỆM TRONG NƯỚC, QUỐC TẾ</w:t>
          </w:r>
          <w:r>
            <w:tab/>
          </w:r>
          <w:r>
            <w:fldChar w:fldCharType="begin"/>
          </w:r>
          <w:r>
            <w:instrText xml:space="preserve"> PAGEREF _Toc233183730 \h </w:instrText>
          </w:r>
          <w:r>
            <w:fldChar w:fldCharType="separate"/>
          </w:r>
          <w:r>
            <w:t>92</w:t>
          </w:r>
          <w:r>
            <w:fldChar w:fldCharType="end"/>
          </w:r>
          <w:r>
            <w:fldChar w:fldCharType="end"/>
          </w:r>
        </w:p>
        <w:p w14:paraId="4C0930DB">
          <w:pPr>
            <w:pStyle w:val="28"/>
            <w:tabs>
              <w:tab w:val="right" w:leader="dot" w:pos="8990"/>
            </w:tabs>
            <w:rPr>
              <w:rFonts w:eastAsia="Arial"/>
              <w:b w:val="0"/>
              <w:b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fldChar w:fldCharType="end"/>
          </w:r>
        </w:p>
      </w:sdtContent>
    </w:sdt>
    <w:p w14:paraId="17A414A8">
      <w:pPr>
        <w:pStyle w:val="2"/>
        <w:spacing w:before="120" w:line="312" w:lineRule="auto"/>
        <w:rPr>
          <w:color w:val="000000" w:themeColor="text1"/>
          <w14:textFill>
            <w14:solidFill>
              <w14:schemeClr w14:val="tx1"/>
            </w14:solidFill>
          </w14:textFill>
        </w:rPr>
      </w:pPr>
      <w:bookmarkStart w:id="1" w:name="_xhntzp79rdo8" w:colFirst="0" w:colLast="0"/>
      <w:bookmarkEnd w:id="1"/>
      <w:r>
        <w:rPr>
          <w:color w:val="000000" w:themeColor="text1"/>
          <w14:textFill>
            <w14:solidFill>
              <w14:schemeClr w14:val="tx1"/>
            </w14:solidFill>
          </w14:textFill>
        </w:rPr>
        <w:br w:type="page"/>
      </w:r>
    </w:p>
    <w:p w14:paraId="0CB9355F">
      <w:pPr>
        <w:pStyle w:val="2"/>
        <w:spacing w:before="120" w:line="312" w:lineRule="auto"/>
        <w:jc w:val="center"/>
        <w:rPr>
          <w:color w:val="000000" w:themeColor="text1"/>
          <w:lang w:val="en-US"/>
          <w14:textFill>
            <w14:solidFill>
              <w14:schemeClr w14:val="tx1"/>
            </w14:solidFill>
          </w14:textFill>
        </w:rPr>
      </w:pPr>
      <w:bookmarkStart w:id="2" w:name="_sv0tea2m146w" w:colFirst="0" w:colLast="0"/>
      <w:bookmarkEnd w:id="2"/>
      <w:bookmarkStart w:id="3" w:name="_Toc233183596"/>
      <w:r>
        <w:rPr>
          <w:color w:val="000000" w:themeColor="text1"/>
          <w:lang w:val="en-US"/>
          <w14:textFill>
            <w14:solidFill>
              <w14:schemeClr w14:val="tx1"/>
            </w14:solidFill>
          </w14:textFill>
        </w:rPr>
        <w:t>PHẦN I – SỰ CẦN THIẾT VÀ CƠ SỞ PHÁP LÝ</w:t>
      </w:r>
      <w:bookmarkEnd w:id="3"/>
    </w:p>
    <w:p w14:paraId="384123CD">
      <w:pPr>
        <w:pStyle w:val="3"/>
        <w:rPr>
          <w:color w:val="000000" w:themeColor="text1"/>
          <w14:textFill>
            <w14:solidFill>
              <w14:schemeClr w14:val="tx1"/>
            </w14:solidFill>
          </w14:textFill>
        </w:rPr>
      </w:pPr>
      <w:bookmarkStart w:id="4" w:name="_Toc233183597"/>
      <w:r>
        <w:rPr>
          <w:color w:val="000000" w:themeColor="text1"/>
          <w14:textFill>
            <w14:solidFill>
              <w14:schemeClr w14:val="tx1"/>
            </w14:solidFill>
          </w14:textFill>
        </w:rPr>
        <w:t>I. SỰ CẦN THIẾT XÂY DỰNG ĐỀ ÁN</w:t>
      </w:r>
      <w:bookmarkEnd w:id="4"/>
    </w:p>
    <w:p w14:paraId="3607425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Trong bối cảnh thế giới đang chuyển mạnh sang mô hình phát triển dựa trên khoa học, công nghệ, ĐMST và kinh tế tri thức, năng lực ĐMST ngày càng trở thành yếu tố quyết định năng suất, năng lực cạnh tranh và chất lượng tăng trưởng của mỗi quốc gia, địa phương. ĐMST không chỉ là động lực thúc đẩy phát triển kinh tế mà còn là công cụ quan trọng để giải quyết các thách thức về chuyển đổi mô hình tăng trưởng, phát triển bền vững và nâng cao khả năng thích ứng trước những biến động của môi trường kinh tế toàn cầu.</w:t>
      </w:r>
    </w:p>
    <w:p w14:paraId="4F88FFC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Cùng với sự phát triển mạnh mẽ của cuộc Cách mạng công nghiệp lần thứ tư, các công nghệ nền tảng như trí tuệ nhân tạo (AI), dữ liệu lớn (Big Data), Internet vạn vật (IoT), điện toán đám mây, công nghệ bán dẫn, công nghệ sinh học và các nền tảng số đang làm thay đổi sâu sắc phương thức sản xuất, mô hình kinh doanh và cấu trúc chuỗi giá trị toàn cầu. Năng lực tạo ra, hấp thụ và ứng dụng công nghệ mới ngày càng trở thành yếu tố quyết định vị thế cạnh tranh của các quốc gia, vùng lãnh thổ và địa phương trong nền kinh tế số.</w:t>
      </w:r>
    </w:p>
    <w:p w14:paraId="55C8B4D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Trước xu thế đó, nhiều quốc gia và địa phương trên thế giới đã chuyển trọng tâm từ phát triển dựa vào các yếu tố đầu vào truyền thống sang phát triển dựa trên tri thức, công nghệ và ĐMST. Đồng thời, việc xây dựng hệ sinh thái ĐMST được xem là giải pháp quan trọng nhằm thúc đẩy liên kết giữa doanh nghiệp, cơ sở nghiên cứu, cơ sở giáo dục, nhà đầu tư, tổ chức hỗ trợ và cơ quan quản lý nhà nước; qua đó đẩy nhanh quá trình nghiên cứu, phát triển, chuyển giao, thương mại hóa công nghệ và hình thành các động lực tăng trưởng mới cho nền kinh tế.</w:t>
      </w:r>
    </w:p>
    <w:p w14:paraId="0FCF074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Tại Việt Nam, Đảng và Nhà nước đã xác định KHCN, ĐMST và chuyển đổi số là động lực phát triển chiến lược trong giai đoạn mới. Nghị quyết Đại hội XIII của Đảng, Nghị quyết số 57-NQ/TW ngày 22 tháng 12 năm 2024 của Bộ Chính trị cùng các chiến lược, chương trình của Chính phủ đều nhấn mạnh yêu cầu phát triển hệ sinh thái ĐMST quốc gia, thúc đẩy ĐMST trong doanh nghiệp, phát triển kinh tế số, kinh tế xanh và nâng cao năng lực công nghệ nội sinh. Trong bối cảnh đó, các địa phương cần chủ động xây dựng hệ sinh thái ĐMST phù hợp với điều kiện thực tiễn nhằm tạo động lực tăng trưởng mới và nâng cao năng lực cạnh tranh.</w:t>
      </w:r>
    </w:p>
    <w:p w14:paraId="14581BB2">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Những năm gần đây, kinh tế - xã hội của tỉnh Ninh Bình duy trì đà phát triển tích cực, cơ cấu kinh tế tiếp tục chuyển dịch theo hướng tăng tỷ trọng công nghiệp - xây dựng và dịch vụ; công nghiệp chế biến, chế tạo, du lịch và dịch vụ tiếp tục giữ vai trò động lực chủ yếu của nền kinh tế. Tuy nhiên, nền tảng tăng trưởng của tỉnh vẫn đối mặt với nhiều thách thức trong bối cảnh phát triển mới. Kinh tế địa phương còn phụ thuộc lớn vào khu vực công nghiệp chế biến, chế tạo và doanh nghiệp có vốn đầu tư trực tiếp nước ngoài (FDI); năng lực đổi mới công nghệ, nghiên cứu phát triển và tham gia chuỗi giá trị của doanh nghiệp trong nước còn hạn chế; liên kết giữa doanh nghiệp với các cơ sở đào tạo, nghiên cứu và tổ chức hỗ trợ ĐMST chưa chặt chẽ. Các hoạt động ĐMST và khởi nghiệp sáng tạo (KNST) còn phân tán, thiếu tính kết nối và chưa hình thành được hệ sinh thái đồng bộ có khả năng dẫn dắt phát triển dài hạn.</w:t>
      </w:r>
    </w:p>
    <w:p w14:paraId="132B45C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Bên cạnh đó, trong bối cảnh cạnh tranh giữa các địa phương ngày càng mạnh mẽ, yêu cầu phát triển nhanh nhưng bền vững đang đặt ra áp lực lớn đối với tỉnh trong việc hình thành các động lực tăng trưởng mới dựa trên KHCN và ĐMST. Đặc biệt, tỉnh Ninh Bình đang định hướng phát triển du lịch trở thành ngành kinh tế mũi nhọn, thúc đẩy công nghiệp văn hóa, kinh tế di sản và mở rộng các khu công nghiệp, khu kinh tế, hạ tầng liên kết vùng trong giai đoạn tới. Điều này đòi hỏi phải hình thành hệ sinh thái ĐMST đủ mạnh để kết nối các nguồn lực phát triển, thúc đẩy đổi mới công nghệ và nâng cao năng lực cạnh tranh của nền kinh tế địa phương.</w:t>
      </w:r>
    </w:p>
    <w:p w14:paraId="7E2062B1">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Để đáp ứng yêu cầu phát triển trong giai đoạn mới, việc xây dựng Đề án phát triển hệ sinh thái ĐMST tỉnh Ninh Bình giai đoạn 2026 - 2030 là yêu cầu cấp thiết nhằm cụ thể hóa chủ trương của Đảng và Nhà nước về phát triển KHCN và ĐMST; tạo lập nền tảng thúc đẩy chuyển đổi nền kinh tế của tỉnh theo hướng hiện đại, bền vững; phát huy hiệu quả các tiềm năng, lợi thế của địa phương; đồng thời góp phần thực hiện các mục tiêu phát triển kinh tế - xã hội của tỉnh trong giai đoạn mới, hướng tới mục tiêu trở thành thành phố trực thuộc Trung ương vào năm 2030.</w:t>
      </w:r>
    </w:p>
    <w:p w14:paraId="3B770F1F">
      <w:pPr>
        <w:pStyle w:val="3"/>
        <w:rPr>
          <w:color w:val="000000" w:themeColor="text1"/>
          <w14:textFill>
            <w14:solidFill>
              <w14:schemeClr w14:val="tx1"/>
            </w14:solidFill>
          </w14:textFill>
        </w:rPr>
      </w:pPr>
      <w:bookmarkStart w:id="5" w:name="_Toc233183598"/>
      <w:r>
        <w:rPr>
          <w:color w:val="000000" w:themeColor="text1"/>
          <w14:textFill>
            <w14:solidFill>
              <w14:schemeClr w14:val="tx1"/>
            </w14:solidFill>
          </w14:textFill>
        </w:rPr>
        <w:t>II. CƠ SỞ PHÁP LÝ</w:t>
      </w:r>
      <w:bookmarkEnd w:id="5"/>
    </w:p>
    <w:p w14:paraId="618BE49D">
      <w:pPr>
        <w:pStyle w:val="4"/>
        <w:rPr>
          <w:color w:val="000000" w:themeColor="text1"/>
          <w14:textFill>
            <w14:solidFill>
              <w14:schemeClr w14:val="tx1"/>
            </w14:solidFill>
          </w14:textFill>
        </w:rPr>
      </w:pPr>
      <w:bookmarkStart w:id="6" w:name="_Toc233183599"/>
      <w:r>
        <w:rPr>
          <w:color w:val="000000" w:themeColor="text1"/>
          <w14:textFill>
            <w14:solidFill>
              <w14:schemeClr w14:val="tx1"/>
            </w14:solidFill>
          </w14:textFill>
        </w:rPr>
        <w:t>2.1. Văn bản Trung ương</w:t>
      </w:r>
      <w:bookmarkEnd w:id="6"/>
    </w:p>
    <w:p w14:paraId="4ECE3865">
      <w:pPr>
        <w:spacing w:before="120" w:line="312" w:lineRule="auto"/>
        <w:ind w:firstLine="720"/>
        <w:rPr>
          <w:b/>
          <w:bCs/>
          <w:i/>
          <w:iCs/>
          <w:color w:val="000000" w:themeColor="text1"/>
          <w:sz w:val="26"/>
          <w:szCs w:val="26"/>
          <w:lang w:val="vi-VN"/>
          <w14:textFill>
            <w14:solidFill>
              <w14:schemeClr w14:val="tx1"/>
            </w14:solidFill>
          </w14:textFill>
        </w:rPr>
      </w:pPr>
      <w:r>
        <w:rPr>
          <w:b/>
          <w:bCs/>
          <w:i/>
          <w:iCs/>
          <w:color w:val="000000" w:themeColor="text1"/>
          <w:sz w:val="26"/>
          <w:szCs w:val="26"/>
          <w:lang w:val="vi-VN"/>
          <w14:textFill>
            <w14:solidFill>
              <w14:schemeClr w14:val="tx1"/>
            </w14:solidFill>
          </w14:textFill>
        </w:rPr>
        <w:t>(i) Nghị quyết của Bộ Chính trị</w:t>
      </w:r>
    </w:p>
    <w:p w14:paraId="585660F8">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 xml:space="preserve">Nghị quyết số 52-NQ/TW ngày 27/9/2019 của Bộ Chính trị về </w:t>
      </w:r>
      <w:bookmarkStart w:id="7" w:name="kix.hwv0td8sbebo" w:colFirst="0" w:colLast="0"/>
      <w:bookmarkEnd w:id="7"/>
      <w:r>
        <w:rPr>
          <w:color w:val="000000" w:themeColor="text1"/>
          <w:spacing w:val="-5"/>
          <w:sz w:val="26"/>
          <w:szCs w:val="26"/>
          <w:lang w:val="vi-VN"/>
          <w14:textFill>
            <w14:solidFill>
              <w14:schemeClr w14:val="tx1"/>
            </w14:solidFill>
          </w14:textFill>
        </w:rPr>
        <w:t>một số chủ trương, chính sách chủ động tham gia cuộc cách mạng công nghiệp lần thứ tư;</w:t>
      </w:r>
    </w:p>
    <w:p w14:paraId="04D2E19D">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29-NQ/TW ngày 17/11/2022 Hội nghị lần thứ 6 Ban Chấp hành Trung ương Đảng khóa XIII về tiếp tục đẩy mạnh công nghiệp hóa, hiện đại hóa đất nước đến năm 2030, tầm nhìn đến năm 2045</w:t>
      </w:r>
    </w:p>
    <w:p w14:paraId="2925FD82">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57-NQ/TW ngày 22/12/2024 của Bộ Chính trị về đột phá phát triển khoa học, công nghệ, ĐMST và chuyển đổi số quốc gia;</w:t>
      </w:r>
    </w:p>
    <w:p w14:paraId="317B23EB">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Nghị quyết số 68-NQ/TW ngày 4/5/2025 của Bộ Chính trị về phát triển kinh tế tư nhân;</w:t>
      </w:r>
    </w:p>
    <w:p w14:paraId="5C1DB0FB">
      <w:pPr>
        <w:spacing w:before="120" w:line="312" w:lineRule="auto"/>
        <w:ind w:firstLine="72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Nghị quyết Đại hội đại biểu Đảng bộ tỉnh Ninh Bình lần thứ I, nhiệm kỳ 2025 – 2030;</w:t>
      </w:r>
    </w:p>
    <w:p w14:paraId="7A1B7960">
      <w:pPr>
        <w:spacing w:before="120" w:line="312" w:lineRule="auto"/>
        <w:ind w:firstLine="720"/>
        <w:rPr>
          <w:b/>
          <w:bCs/>
          <w:i/>
          <w:iCs/>
          <w:color w:val="000000" w:themeColor="text1"/>
          <w:sz w:val="26"/>
          <w:szCs w:val="26"/>
          <w:lang w:val="vi-VN"/>
          <w14:textFill>
            <w14:solidFill>
              <w14:schemeClr w14:val="tx1"/>
            </w14:solidFill>
          </w14:textFill>
        </w:rPr>
      </w:pPr>
      <w:r>
        <w:rPr>
          <w:b/>
          <w:bCs/>
          <w:i/>
          <w:iCs/>
          <w:color w:val="000000" w:themeColor="text1"/>
          <w:sz w:val="26"/>
          <w:szCs w:val="26"/>
          <w:lang w:val="vi-VN"/>
          <w14:textFill>
            <w14:solidFill>
              <w14:schemeClr w14:val="tx1"/>
            </w14:solidFill>
          </w14:textFill>
        </w:rPr>
        <w:t>(ii) Luật và Nghị quyết của Quốc hội</w:t>
      </w:r>
    </w:p>
    <w:p w14:paraId="0B0C632C">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Căn cứ </w:t>
      </w:r>
      <w:bookmarkStart w:id="8" w:name="tvpllink_ybxjodnhtg"/>
      <w:r>
        <w:rPr>
          <w:color w:val="000000" w:themeColor="text1"/>
          <w:spacing w:val="-5"/>
          <w:sz w:val="26"/>
          <w:szCs w:val="26"/>
          <w14:textFill>
            <w14:solidFill>
              <w14:schemeClr w14:val="tx1"/>
            </w14:solidFill>
          </w14:textFill>
        </w:rPr>
        <w:fldChar w:fldCharType="begin"/>
      </w:r>
      <w:r>
        <w:rPr>
          <w:color w:val="000000" w:themeColor="text1"/>
          <w:spacing w:val="-5"/>
          <w:sz w:val="26"/>
          <w:szCs w:val="26"/>
          <w:lang w:val="vi-VN"/>
          <w14:textFill>
            <w14:solidFill>
              <w14:schemeClr w14:val="tx1"/>
            </w14:solidFill>
          </w14:textFill>
        </w:rPr>
        <w:instrText xml:space="preserve"> HYPERLINK "https://thuvienphapluat.vn/van-ban/Bo-may-hanh-chinh/Luat-To-chuc-chinh-quyen-dia-phuong-2025-so-72-2025-QH15-649675.aspx" \t "_blank" </w:instrText>
      </w:r>
      <w:r>
        <w:rPr>
          <w:color w:val="000000" w:themeColor="text1"/>
          <w:spacing w:val="-5"/>
          <w:sz w:val="26"/>
          <w:szCs w:val="26"/>
          <w14:textFill>
            <w14:solidFill>
              <w14:schemeClr w14:val="tx1"/>
            </w14:solidFill>
          </w14:textFill>
        </w:rPr>
        <w:fldChar w:fldCharType="separate"/>
      </w:r>
      <w:r>
        <w:rPr>
          <w:color w:val="000000" w:themeColor="text1"/>
          <w:spacing w:val="-5"/>
          <w:sz w:val="26"/>
          <w:szCs w:val="26"/>
          <w:lang w:val="vi-VN"/>
          <w14:textFill>
            <w14:solidFill>
              <w14:schemeClr w14:val="tx1"/>
            </w14:solidFill>
          </w14:textFill>
        </w:rPr>
        <w:t>Luật Tổ chức chính quyền địa phương số 72/2025/QH15</w:t>
      </w:r>
      <w:r>
        <w:rPr>
          <w:color w:val="000000" w:themeColor="text1"/>
          <w:spacing w:val="-5"/>
          <w:sz w:val="26"/>
          <w:szCs w:val="26"/>
          <w14:textFill>
            <w14:solidFill>
              <w14:schemeClr w14:val="tx1"/>
            </w14:solidFill>
          </w14:textFill>
        </w:rPr>
        <w:fldChar w:fldCharType="end"/>
      </w:r>
      <w:bookmarkEnd w:id="8"/>
      <w:r>
        <w:rPr>
          <w:color w:val="000000" w:themeColor="text1"/>
          <w:spacing w:val="-5"/>
          <w:sz w:val="26"/>
          <w:szCs w:val="26"/>
          <w:lang w:val="vi-VN"/>
          <w14:textFill>
            <w14:solidFill>
              <w14:schemeClr w14:val="tx1"/>
            </w14:solidFill>
          </w14:textFill>
        </w:rPr>
        <w:t>, được Quốc hội thông qua và có hiệu lực từ ngày 16/6/2025;</w:t>
      </w:r>
    </w:p>
    <w:p w14:paraId="754535DF">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Luật Khoa học, Công nghệ và ĐMST 2025, số 93/2025/QH15, được Quốc hội thông qua ngày 27/6/2025, có hiệu lực từ 01/10/2025;</w:t>
      </w:r>
    </w:p>
    <w:p w14:paraId="7B309043">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Luật Công nghiệp công nghệ số 2025, số 71/2025/QH15, được Quốc hội thông qua ngày 14/6/2025, có hiệu lực từ 01/01/2026;</w:t>
      </w:r>
    </w:p>
    <w:p w14:paraId="111B5BE5">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Luật Đầu tư số 143/2025/QH15 ngày 11/12/2025, có hiệu lực từ 01/3/2026;</w:t>
      </w:r>
    </w:p>
    <w:p w14:paraId="61A115EA">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193/2025/QH15 của Quốc hội về thí điểm một số cơ chế, chính sách đặc biệt tạo đột phá phát triển khoa học, công nghệ, ĐMST và chuyển đổi số quốc gia.</w:t>
      </w:r>
    </w:p>
    <w:p w14:paraId="7BD294E9">
      <w:pPr>
        <w:spacing w:before="120" w:line="312" w:lineRule="auto"/>
        <w:ind w:firstLine="720"/>
        <w:rPr>
          <w:b/>
          <w:bCs/>
          <w:i/>
          <w:iCs/>
          <w:color w:val="000000" w:themeColor="text1"/>
          <w:sz w:val="26"/>
          <w:szCs w:val="26"/>
          <w:lang w:val="vi-VN"/>
          <w14:textFill>
            <w14:solidFill>
              <w14:schemeClr w14:val="tx1"/>
            </w14:solidFill>
          </w14:textFill>
        </w:rPr>
      </w:pPr>
      <w:r>
        <w:rPr>
          <w:b/>
          <w:bCs/>
          <w:i/>
          <w:iCs/>
          <w:color w:val="000000" w:themeColor="text1"/>
          <w:sz w:val="26"/>
          <w:szCs w:val="26"/>
          <w:lang w:val="vi-VN"/>
          <w14:textFill>
            <w14:solidFill>
              <w14:schemeClr w14:val="tx1"/>
            </w14:solidFill>
          </w14:textFill>
        </w:rPr>
        <w:t>(iii) Nghị quyết và quyết định của Chính phủ</w:t>
      </w:r>
    </w:p>
    <w:p w14:paraId="58A7A5DB">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71/NQ-CP ngày 01/4/2025 của Chính phủ sửa đổi, bổ sung cập nhật chương trình hành động của chính phủ thực hiện nghị quyết số 57-NQ/TW ngày 22 tháng 12 năm 2024 của Bộ Chính trị về đột phá phát triển khoa học, công nghệ, ĐMST và chuyển đổi số quốc gia;</w:t>
      </w:r>
    </w:p>
    <w:p w14:paraId="32929C19">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86/NQ-CP ngày 05/4/2026 của Chính phủ ban hành Chiến lược quốc gia về khởi nghiệp sáng tạo;</w:t>
      </w:r>
    </w:p>
    <w:p w14:paraId="3D7B473F">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85/NQ-CP ngày 04/4/2026 của Chính phủ ban hành Chương trình hành động của Chính phủ thực hiện Kết luận 219-KL/TW, Nghị quyết 19-NQ/TW về nông nghiệp, nông dân, nông thôn đến 2030, tầm nhìn 2045;</w:t>
      </w:r>
    </w:p>
    <w:p w14:paraId="3D68FF66">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Nghị định số 239/2025/NĐ-CP ngày 03/9/2025 về việc sửa đổi, bổ sung một số điều của Nghị định số 31/2021/NĐ-CP ngày 26 tháng 3 năm 2021 của Chính phủ quy định chi tiết và hướng dẫn thi hành một số điều của Luật Đầu tư;</w:t>
      </w:r>
    </w:p>
    <w:p w14:paraId="001AB8C9">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Nghị định số 265/2025/NĐ-CP ngày 14/10/2025, quy định chi tiết và hướng dẫn một số điều của Luật Khoa học, Công nghệ và ĐMST về tài chính và đầu tư trong KHCN và ĐMST ;</w:t>
      </w:r>
    </w:p>
    <w:p w14:paraId="1C2FAA7F">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Nghị định số 267/2025/NĐ-CP ngày 14/10/2025, quy định chi tiết và hướng dẫn một số điều của Luật Khoa học, công nghệ và ĐMST về chương trình, nhiệm vụ KHCN và ĐMST ;</w:t>
      </w:r>
    </w:p>
    <w:p w14:paraId="6BAC9BCF">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định số 268/2025/NĐ-CP ngày 14/10/2025, quy định chi tiết và hướng dẫn một số điều của luật khoa học, công nghệ và ĐMST về ĐMST ; khuyến khích hoạt động khoa học, công nghệ và ĐMST trong doanh nghiệp; công nhận trung tâm ĐMST , hỗ trợ khởi nghiệp sáng tạo; công nhận cá nhân, doanh nghiệp khởi nghiệp sáng tạo; hạ tầng, mạng lưới và hệ sinh thái khởi nghiệp sáng tạo;</w:t>
      </w:r>
    </w:p>
    <w:p w14:paraId="57E23BF9">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Quyết định số 1018/QĐ-TTg ngày 21/9/2024 của Thủ tướng Chính phủ phê duyệt Chiến lược phát triển công nghiệp bán dẫn Việt Nam đến năm 2030, tầm nhìn 2050;</w:t>
      </w:r>
    </w:p>
    <w:p w14:paraId="1D23AF54">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Quyết định số 222/QĐ-TTg ngày 23/01/2025 của Thủ tướng Chính phủ về ban hành Kế hoạch hành động quốc gia thực hiện kinh tế tuần hoàn đến năm 2035;</w:t>
      </w:r>
    </w:p>
    <w:p w14:paraId="7D09E442">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Quyết định số 1131/QĐ-TTg ngày 12/6/2025 của Thủ tướng Chính phủ về danh mục công nghệ chiến lược quốc gia;</w:t>
      </w:r>
    </w:p>
    <w:p w14:paraId="7F86A166">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Quyết định số 2450/QĐ-BVHTTDL ngày 16/7/2025 của Bộ Văn hóa – Thể thao và Du lịch về Chương trình đẩy mạnh chuyển đổi số du lịch thông minh trong lĩnh vực du lịch;</w:t>
      </w:r>
    </w:p>
    <w:p w14:paraId="6AEAB5C5">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Quyết định 4386/QĐ-BKHCN ngày 24/12/2025 của Bộ KH&amp;CN quy định chức năng, nhiệm vụ, quyền hạn và cơ cấu tổ chức của Trung tâm quốc gia hỗ trợ sản xuất thử chip bán dẫn;</w:t>
      </w:r>
    </w:p>
    <w:p w14:paraId="494C402D">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Quyết định số 1946/QĐ-TTg ngày 09/9/2025 của Thủ tướng Chính phủ về ban hành Kế hoạch triển khai thi hành Luật Công nghiệp công nghệ số;</w:t>
      </w:r>
    </w:p>
    <w:p w14:paraId="0D46D0B3">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Quyết định số 840/QĐ-CP ngày 13/5/2026 của Thủ tướng Chính phủ về việc phê duyệt chương trình phát triển công nghiệp công nghệ số giai đoạn 2026 - 2030, tầm nhìn 2045;</w:t>
      </w:r>
    </w:p>
    <w:p w14:paraId="70C1080A">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 xml:space="preserve">Quyết định 2415/QĐ-TTg </w:t>
      </w:r>
      <w:bookmarkStart w:id="9" w:name="loai_1_name"/>
      <w:r>
        <w:rPr>
          <w:color w:val="000000" w:themeColor="text1"/>
          <w:spacing w:val="-10"/>
          <w:sz w:val="26"/>
          <w:szCs w:val="26"/>
          <w:lang w:val="vi-VN"/>
          <w14:textFill>
            <w14:solidFill>
              <w14:schemeClr w14:val="tx1"/>
            </w14:solidFill>
          </w14:textFill>
        </w:rPr>
        <w:t>ngày 31/10/2025 của Thủ tướng Chính phủ về việc phê duyệt Đề án Hỗ trợ phụ nữ khởi nghiệp giai đoạn 2026 - 2035</w:t>
      </w:r>
      <w:bookmarkEnd w:id="9"/>
      <w:r>
        <w:rPr>
          <w:color w:val="000000" w:themeColor="text1"/>
          <w:spacing w:val="-10"/>
          <w:sz w:val="26"/>
          <w:szCs w:val="26"/>
          <w:lang w:val="vi-VN"/>
          <w14:textFill>
            <w14:solidFill>
              <w14:schemeClr w14:val="tx1"/>
            </w14:solidFill>
          </w14:textFill>
        </w:rPr>
        <w:t>;</w:t>
      </w:r>
    </w:p>
    <w:p w14:paraId="385E5D7F">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Thông tư 32/2025/TT-BKHCN ngày 15/11/2025 của Bộ KH&amp;CN về Danh mục nguyên liệu, vật liệu bán dẫn, thiết bị, máy móc, công cụ cho công nghiệp bán dẫn được khuyến khích đầu tư phát triển;</w:t>
      </w:r>
    </w:p>
    <w:p w14:paraId="1735A057">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Thông tư số 07/2020/TT-BKHCN ngày 11/12/2020 của Bộ KH&amp;CN hướng dẫn thành lập cơ sở ươm tạo, cơ sở kỹ thuật hỗ trợ doanh nghiệp nhỏ và vừa, khu làm việc chung hỗ trợ doanh nghiệp khởi nghiệp sáng tạo;</w:t>
      </w:r>
    </w:p>
    <w:p w14:paraId="7F54DCDA">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Thông báo số 156/TB-VPCP ngày 28/3/2026 của Văn phòng Chính phủ về kết luận phiên họp thứ nhất năm 2026 của Ban Chỉ đạo quốc gia về phát triển ngành công nghiệp bán dẫn.</w:t>
      </w:r>
    </w:p>
    <w:p w14:paraId="75A9A0B0">
      <w:pPr>
        <w:pStyle w:val="4"/>
        <w:rPr>
          <w:color w:val="000000" w:themeColor="text1"/>
          <w14:textFill>
            <w14:solidFill>
              <w14:schemeClr w14:val="tx1"/>
            </w14:solidFill>
          </w14:textFill>
        </w:rPr>
      </w:pPr>
      <w:bookmarkStart w:id="10" w:name="_Toc233183600"/>
      <w:r>
        <w:rPr>
          <w:color w:val="000000" w:themeColor="text1"/>
          <w14:textFill>
            <w14:solidFill>
              <w14:schemeClr w14:val="tx1"/>
            </w14:solidFill>
          </w14:textFill>
        </w:rPr>
        <w:t>2.2. Văn bản địa phương</w:t>
      </w:r>
      <w:bookmarkEnd w:id="10"/>
    </w:p>
    <w:p w14:paraId="078665C5">
      <w:pPr>
        <w:spacing w:before="120" w:line="312" w:lineRule="auto"/>
        <w:ind w:firstLine="720"/>
        <w:rPr>
          <w:color w:val="000000" w:themeColor="text1"/>
          <w:spacing w:val="-7"/>
          <w:sz w:val="26"/>
          <w:szCs w:val="26"/>
          <w:lang w:val="vi-VN"/>
          <w14:textFill>
            <w14:solidFill>
              <w14:schemeClr w14:val="tx1"/>
            </w14:solidFill>
          </w14:textFill>
        </w:rPr>
      </w:pPr>
      <w:r>
        <w:rPr>
          <w:color w:val="000000" w:themeColor="text1"/>
          <w:spacing w:val="-7"/>
          <w:sz w:val="26"/>
          <w:szCs w:val="26"/>
          <w:lang w:val="vi-VN"/>
          <w14:textFill>
            <w14:solidFill>
              <w14:schemeClr w14:val="tx1"/>
            </w14:solidFill>
          </w14:textFill>
        </w:rPr>
        <w:t>Nghị quyết Đại hội đại biểu Đảng bộ tỉnh Ninh Bình lần thứ I, nhiệm kỳ 2025 - 2030;</w:t>
      </w:r>
    </w:p>
    <w:p w14:paraId="49FAE459">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06-NQ/TU ngày 30/01/2026 của Ban Chấp hành Đảng bộ tỉnh về chiến lược đột phá phát triển khoa học, công nghệ, ĐMST và chuyển đổi số tỉnh Ninh Bình đến năm 2030, tầm nhìn đến năm 2045;</w:t>
      </w:r>
    </w:p>
    <w:p w14:paraId="3917037F">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47/NQ-HĐND ngày 09/12/2025 của Hội đồng nhân dân tỉnh Ninh Bình về Kế hoạch phát triển kinh tế - xã hội năm 2026 tỉnh Ninh Bình.</w:t>
      </w:r>
    </w:p>
    <w:p w14:paraId="42EDFED2">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Nghị quyết số 43/2025/NQ-HĐND ngày 09/12/2025 của Hội đồng nhân dân tỉnh Ninh Bình ban hành Quy định một số chính sách hỗ trợ tài chính trong hoạt động khoa học, công nghệ và ĐMST trên địa bàn tỉnh Ninh Bình;</w:t>
      </w:r>
    </w:p>
    <w:p w14:paraId="3F559668">
      <w:pPr>
        <w:spacing w:before="120" w:line="312" w:lineRule="auto"/>
        <w:ind w:firstLine="72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Kế hoạch số 52-KH/TU ngày 10/4/2026 của Tỉnh ủy Thực hiện Nghị quyết số 06-NQ/TU ngày 30/01/2026 của Ban Chấp hành Đảng bộ tỉnh về chiến lược đột phá phát triển khoa học, công nghệ, ĐMST và chuyển đổi số tỉnh Ninh Bình đến năm 2030, tầm nhìn đến năm 2045;</w:t>
      </w:r>
    </w:p>
    <w:p w14:paraId="5177DEA2">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Kế hoạch số 44-KH/TU ngày 01/4/2026 của Ban Thường vụ Tỉnh ủy Ninh Bình triển khai thực hiện Nghị quyết số 57-NQ/TW, ngày 22/12/2024 của Bộ Chính trị về đột phá phát triển khoa học, công nghệ, ĐMST và chuyển đổi số quốc gia tỉnh Ninh Bình năm 2026;</w:t>
      </w:r>
    </w:p>
    <w:p w14:paraId="1447FED2">
      <w:pPr>
        <w:spacing w:before="120" w:line="312" w:lineRule="auto"/>
        <w:ind w:firstLine="720"/>
        <w:rPr>
          <w:color w:val="000000" w:themeColor="text1"/>
          <w:spacing w:val="-5"/>
          <w:sz w:val="26"/>
          <w:szCs w:val="26"/>
          <w:lang w:val="vi-VN"/>
          <w14:textFill>
            <w14:solidFill>
              <w14:schemeClr w14:val="tx1"/>
            </w14:solidFill>
          </w14:textFill>
        </w:rPr>
      </w:pPr>
      <w:r>
        <w:rPr>
          <w:color w:val="auto"/>
          <w:spacing w:val="-5"/>
          <w:sz w:val="26"/>
          <w:szCs w:val="26"/>
          <w:lang w:val="vi-VN"/>
        </w:rPr>
        <w:t>Kế hoạch số 1</w:t>
      </w:r>
      <w:r>
        <w:rPr>
          <w:rFonts w:hint="default"/>
          <w:color w:val="auto"/>
          <w:spacing w:val="-5"/>
          <w:sz w:val="26"/>
          <w:szCs w:val="26"/>
          <w:lang w:val="en-GB"/>
        </w:rPr>
        <w:t>63</w:t>
      </w:r>
      <w:r>
        <w:rPr>
          <w:color w:val="auto"/>
          <w:spacing w:val="-5"/>
          <w:sz w:val="26"/>
          <w:szCs w:val="26"/>
          <w:lang w:val="vi-VN"/>
        </w:rPr>
        <w:t>/KH-UBND, ngày 1</w:t>
      </w:r>
      <w:r>
        <w:rPr>
          <w:rFonts w:hint="default"/>
          <w:color w:val="auto"/>
          <w:spacing w:val="-5"/>
          <w:sz w:val="26"/>
          <w:szCs w:val="26"/>
          <w:lang w:val="en-GB"/>
        </w:rPr>
        <w:t>4</w:t>
      </w:r>
      <w:r>
        <w:rPr>
          <w:color w:val="auto"/>
          <w:spacing w:val="-5"/>
          <w:sz w:val="26"/>
          <w:szCs w:val="26"/>
          <w:lang w:val="vi-VN"/>
        </w:rPr>
        <w:t>/</w:t>
      </w:r>
      <w:r>
        <w:rPr>
          <w:rFonts w:hint="default"/>
          <w:color w:val="auto"/>
          <w:spacing w:val="-5"/>
          <w:sz w:val="26"/>
          <w:szCs w:val="26"/>
          <w:lang w:val="en-GB"/>
        </w:rPr>
        <w:t>05</w:t>
      </w:r>
      <w:r>
        <w:rPr>
          <w:color w:val="auto"/>
          <w:spacing w:val="-5"/>
          <w:sz w:val="26"/>
          <w:szCs w:val="26"/>
          <w:lang w:val="vi-VN"/>
        </w:rPr>
        <w:t xml:space="preserve">/2026 </w:t>
      </w:r>
      <w:r>
        <w:rPr>
          <w:rFonts w:hint="default"/>
          <w:color w:val="auto"/>
          <w:spacing w:val="-5"/>
          <w:sz w:val="26"/>
          <w:szCs w:val="26"/>
          <w:lang w:val="en-GB"/>
        </w:rPr>
        <w:t xml:space="preserve">của UBND tỉnh </w:t>
      </w:r>
      <w:r>
        <w:rPr>
          <w:color w:val="auto"/>
          <w:spacing w:val="-5"/>
          <w:sz w:val="26"/>
          <w:szCs w:val="26"/>
          <w:lang w:val="vi-VN"/>
        </w:rPr>
        <w:t>về</w:t>
      </w:r>
      <w:r>
        <w:rPr>
          <w:rFonts w:hint="default"/>
          <w:color w:val="auto"/>
          <w:spacing w:val="-5"/>
          <w:sz w:val="26"/>
          <w:szCs w:val="26"/>
          <w:lang w:val="en-GB"/>
        </w:rPr>
        <w:t xml:space="preserve"> </w:t>
      </w:r>
      <w:r>
        <w:rPr>
          <w:color w:val="auto"/>
          <w:spacing w:val="-5"/>
          <w:sz w:val="26"/>
          <w:szCs w:val="26"/>
          <w:lang w:val="vi-VN"/>
        </w:rPr>
        <w:t xml:space="preserve">triển khai thực hiện </w:t>
      </w:r>
      <w:r>
        <w:rPr>
          <w:rFonts w:hint="default"/>
          <w:color w:val="auto"/>
          <w:spacing w:val="-5"/>
          <w:sz w:val="26"/>
          <w:szCs w:val="26"/>
          <w:lang w:val="en-GB"/>
        </w:rPr>
        <w:t>N</w:t>
      </w:r>
      <w:r>
        <w:rPr>
          <w:color w:val="auto"/>
          <w:spacing w:val="-5"/>
          <w:sz w:val="26"/>
          <w:szCs w:val="26"/>
          <w:lang w:val="vi-VN"/>
        </w:rPr>
        <w:t>ghị quyết số 06-</w:t>
      </w:r>
      <w:r>
        <w:rPr>
          <w:rFonts w:hint="default"/>
          <w:color w:val="auto"/>
          <w:spacing w:val="-5"/>
          <w:sz w:val="26"/>
          <w:szCs w:val="26"/>
          <w:lang w:val="en-GB"/>
        </w:rPr>
        <w:t>NQ</w:t>
      </w:r>
      <w:r>
        <w:rPr>
          <w:color w:val="auto"/>
          <w:spacing w:val="-5"/>
          <w:sz w:val="26"/>
          <w:szCs w:val="26"/>
          <w:lang w:val="vi-VN"/>
        </w:rPr>
        <w:t>/</w:t>
      </w:r>
      <w:r>
        <w:rPr>
          <w:rFonts w:hint="default"/>
          <w:color w:val="auto"/>
          <w:spacing w:val="-5"/>
          <w:sz w:val="26"/>
          <w:szCs w:val="26"/>
          <w:lang w:val="en-GB"/>
        </w:rPr>
        <w:t>TU</w:t>
      </w:r>
      <w:r>
        <w:rPr>
          <w:color w:val="auto"/>
          <w:spacing w:val="-5"/>
          <w:sz w:val="26"/>
          <w:szCs w:val="26"/>
          <w:lang w:val="vi-VN"/>
        </w:rPr>
        <w:t xml:space="preserve"> ngày 30/01/2026 của </w:t>
      </w:r>
      <w:r>
        <w:rPr>
          <w:rFonts w:hint="default"/>
          <w:color w:val="auto"/>
          <w:spacing w:val="-5"/>
          <w:sz w:val="26"/>
          <w:szCs w:val="26"/>
          <w:lang w:val="en-GB"/>
        </w:rPr>
        <w:t>B</w:t>
      </w:r>
      <w:r>
        <w:rPr>
          <w:color w:val="auto"/>
          <w:spacing w:val="-5"/>
          <w:sz w:val="26"/>
          <w:szCs w:val="26"/>
          <w:lang w:val="vi-VN"/>
        </w:rPr>
        <w:t xml:space="preserve">an chấp hành </w:t>
      </w:r>
      <w:r>
        <w:rPr>
          <w:color w:val="auto"/>
          <w:spacing w:val="-5"/>
          <w:sz w:val="26"/>
          <w:szCs w:val="26"/>
          <w:lang w:val="en-GB"/>
        </w:rPr>
        <w:t>Đ</w:t>
      </w:r>
      <w:r>
        <w:rPr>
          <w:color w:val="auto"/>
          <w:spacing w:val="-5"/>
          <w:sz w:val="26"/>
          <w:szCs w:val="26"/>
          <w:lang w:val="vi-VN"/>
        </w:rPr>
        <w:t xml:space="preserve">ảng bộ tỉnh về chiến lược đột phá phát triển khoa học, công nghệ, đổi mới sáng tạo và chuyển đổi số tỉnh </w:t>
      </w:r>
      <w:r>
        <w:rPr>
          <w:rFonts w:hint="default"/>
          <w:color w:val="auto"/>
          <w:spacing w:val="-5"/>
          <w:sz w:val="26"/>
          <w:szCs w:val="26"/>
          <w:lang w:val="en-GB"/>
        </w:rPr>
        <w:t>N</w:t>
      </w:r>
      <w:r>
        <w:rPr>
          <w:color w:val="auto"/>
          <w:spacing w:val="-5"/>
          <w:sz w:val="26"/>
          <w:szCs w:val="26"/>
          <w:lang w:val="vi-VN"/>
        </w:rPr>
        <w:t xml:space="preserve">inh </w:t>
      </w:r>
      <w:r>
        <w:rPr>
          <w:rFonts w:hint="default"/>
          <w:color w:val="auto"/>
          <w:spacing w:val="-5"/>
          <w:sz w:val="26"/>
          <w:szCs w:val="26"/>
          <w:lang w:val="en-GB"/>
        </w:rPr>
        <w:t>B</w:t>
      </w:r>
      <w:r>
        <w:rPr>
          <w:color w:val="auto"/>
          <w:spacing w:val="-5"/>
          <w:sz w:val="26"/>
          <w:szCs w:val="26"/>
          <w:lang w:val="vi-VN"/>
        </w:rPr>
        <w:t>ình đến năm 2030, tầm nhìn đến năm 2045</w:t>
      </w:r>
      <w:r>
        <w:rPr>
          <w:rFonts w:hint="default"/>
          <w:color w:val="auto"/>
          <w:spacing w:val="-5"/>
          <w:sz w:val="26"/>
          <w:szCs w:val="26"/>
          <w:lang w:val="en-GB"/>
        </w:rPr>
        <w:t>;</w:t>
      </w:r>
    </w:p>
    <w:p w14:paraId="7EA4D84C">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 xml:space="preserve">Kế hoạch số 19/KH-UBND, ngày 16/01/2026 về Nâng cao chỉ số đổi mới sáng tạo cấp địa phương tỉnh Ninh Bình giai đoạn 2026 - 2030; </w:t>
      </w:r>
    </w:p>
    <w:p w14:paraId="150AC796">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Kế hoạch số 98/KH-UBND ngày 31/3/2026 của UBND tỉnh Ninh Bình về việc thực hiện Nghị quyết số 71/NQ-CP ngày 01/4/2025; Nghị quyết số 11/NQ-CP ngày 14/01/2026 của Chính phủ và Kế hoạch hành động số 15-KH/TU ngày 28/8/2025 của Ban Thường vụ Tỉnh ủy về thực hiện Nghị quyết số 57-NQ/TW ngày 22/12/2024 của Bộ Chính trị về đột phá phát triển khoa học, công nghệ, ĐMST và chuyển đổi số quốc gia trên địa bàn tỉnh Ninh Bình;</w:t>
      </w:r>
    </w:p>
    <w:p w14:paraId="59976F3A">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Kế hoạch số 73/KH-UBND ngày 07/3/2026 của UBND tỉnh Ninh Bình về việc triển khai thực hiện Quyết định số 2815/QĐ-TTg ngày 28/12/2025 của Thủ tướng Chính phủ phê duyệt Chương trình khoa học, công nghệ và ĐMST quốc gia phát triển sản phẩm công nghệ chiến lược ưu tiên triển khai ngay trên địa bàn tỉnh Ninh Bình;</w:t>
      </w:r>
    </w:p>
    <w:p w14:paraId="2192E495">
      <w:pPr>
        <w:spacing w:before="120" w:line="312" w:lineRule="auto"/>
        <w:ind w:firstLine="720"/>
        <w:rPr>
          <w:color w:val="000000" w:themeColor="text1"/>
          <w:spacing w:val="-5"/>
          <w:sz w:val="26"/>
          <w:szCs w:val="26"/>
          <w:lang w:val="vi-VN"/>
          <w14:textFill>
            <w14:solidFill>
              <w14:schemeClr w14:val="tx1"/>
            </w14:solidFill>
          </w14:textFill>
        </w:rPr>
      </w:pPr>
      <w:r>
        <w:rPr>
          <w:color w:val="000000" w:themeColor="text1"/>
          <w:spacing w:val="-5"/>
          <w:sz w:val="26"/>
          <w:szCs w:val="26"/>
          <w:lang w:val="vi-VN"/>
          <w14:textFill>
            <w14:solidFill>
              <w14:schemeClr w14:val="tx1"/>
            </w14:solidFill>
          </w14:textFill>
        </w:rPr>
        <w:t>Kế hoạch số 140/KH-UBND ngày 28/4/2025 của UBND tỉnh Thực hiện Kế hoạch số 44-KH/TU ngày 01/4/2026 của Ban Thường vụ Tỉnh ủy về việc triển khai thực hiện Nghị quyết số 57-NQ/TW ngày 22/12/2024 của Bộ Chính trị về phát triển khoa học, công nghệ, ĐMST và chuyển đổi số tỉnh Ninh Bình năm 2026.</w:t>
      </w:r>
    </w:p>
    <w:p w14:paraId="1B57D9CF">
      <w:pPr>
        <w:spacing w:before="60" w:after="60" w:line="276"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Kế hoạch số 156/KH-UBND ngày 08/5/2026 Triển khai thực hiện Chiến lược quốc gia về khởi nghiệp sáng tạo trên địa bàn tỉnh Ninh Bình giai đoạn 2026-2030.</w:t>
      </w:r>
    </w:p>
    <w:p w14:paraId="144B9E16">
      <w:pPr>
        <w:spacing w:before="60" w:after="60" w:line="276"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Quyết định số 1974/QĐ-UBND ngày 01/6/2026 của UBND Tỉnh Ninh Bình về việc thành lập Trung tâm hoặc không gian đổi mới sáng tạo du lịch - công nghiệp văn hoá.</w:t>
      </w:r>
    </w:p>
    <w:p w14:paraId="33FC7B33">
      <w:pPr>
        <w:pStyle w:val="3"/>
        <w:rPr>
          <w:color w:val="000000" w:themeColor="text1"/>
          <w14:textFill>
            <w14:solidFill>
              <w14:schemeClr w14:val="tx1"/>
            </w14:solidFill>
          </w14:textFill>
        </w:rPr>
      </w:pPr>
      <w:bookmarkStart w:id="11" w:name="_Toc233183601"/>
      <w:r>
        <w:rPr>
          <w:color w:val="000000" w:themeColor="text1"/>
          <w14:textFill>
            <w14:solidFill>
              <w14:schemeClr w14:val="tx1"/>
            </w14:solidFill>
          </w14:textFill>
        </w:rPr>
        <w:t>III. PHẠM VI, ĐỐI TƯỢNG CỦA ĐỀ ÁN</w:t>
      </w:r>
      <w:bookmarkEnd w:id="11"/>
      <w:r>
        <w:rPr>
          <w:color w:val="000000" w:themeColor="text1"/>
          <w14:textFill>
            <w14:solidFill>
              <w14:schemeClr w14:val="tx1"/>
            </w14:solidFill>
          </w14:textFill>
        </w:rPr>
        <w:t xml:space="preserve"> </w:t>
      </w:r>
    </w:p>
    <w:p w14:paraId="780F18C2">
      <w:pPr>
        <w:pStyle w:val="4"/>
        <w:rPr>
          <w:color w:val="000000" w:themeColor="text1"/>
          <w14:textFill>
            <w14:solidFill>
              <w14:schemeClr w14:val="tx1"/>
            </w14:solidFill>
          </w14:textFill>
        </w:rPr>
      </w:pPr>
      <w:bookmarkStart w:id="12" w:name="_Toc233183602"/>
      <w:r>
        <w:rPr>
          <w:color w:val="000000" w:themeColor="text1"/>
          <w14:textFill>
            <w14:solidFill>
              <w14:schemeClr w14:val="tx1"/>
            </w14:solidFill>
          </w14:textFill>
        </w:rPr>
        <w:t>3.1. Phạm vi áp dụng:</w:t>
      </w:r>
      <w:bookmarkEnd w:id="12"/>
      <w:r>
        <w:rPr>
          <w:color w:val="000000" w:themeColor="text1"/>
          <w14:textFill>
            <w14:solidFill>
              <w14:schemeClr w14:val="tx1"/>
            </w14:solidFill>
          </w14:textFill>
        </w:rPr>
        <w:t xml:space="preserve"> </w:t>
      </w:r>
    </w:p>
    <w:p w14:paraId="7635C462">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 xml:space="preserve">Trên địa bàn tỉnh Ninh Bình. </w:t>
      </w:r>
    </w:p>
    <w:p w14:paraId="07BBD1D3">
      <w:pPr>
        <w:pStyle w:val="4"/>
        <w:rPr>
          <w:color w:val="000000" w:themeColor="text1"/>
          <w14:textFill>
            <w14:solidFill>
              <w14:schemeClr w14:val="tx1"/>
            </w14:solidFill>
          </w14:textFill>
        </w:rPr>
      </w:pPr>
      <w:bookmarkStart w:id="13" w:name="_Toc233183603"/>
      <w:r>
        <w:rPr>
          <w:color w:val="000000" w:themeColor="text1"/>
          <w14:textFill>
            <w14:solidFill>
              <w14:schemeClr w14:val="tx1"/>
            </w14:solidFill>
          </w14:textFill>
        </w:rPr>
        <w:t>3.2. Đối tượng áp dụng:</w:t>
      </w:r>
      <w:bookmarkEnd w:id="13"/>
      <w:r>
        <w:rPr>
          <w:color w:val="000000" w:themeColor="text1"/>
          <w14:textFill>
            <w14:solidFill>
              <w14:schemeClr w14:val="tx1"/>
            </w14:solidFill>
          </w14:textFill>
        </w:rPr>
        <w:t xml:space="preserve"> </w:t>
      </w:r>
    </w:p>
    <w:p w14:paraId="4B6D469F">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Các cơ quan Đảng, Nhà nước, Mặt trận Tổ quốc, các tổ chức chính trị - xã hội, tổ chức xã hội nghề nghiệp, hiệp hội doanh nghiệp và các tổ chức hỗ trợ ĐMST và các doanh nghiệp, người dân trên địa bàn tỉnh Ninh Bình.</w:t>
      </w:r>
    </w:p>
    <w:p w14:paraId="3A3B19BA">
      <w:pPr>
        <w:pStyle w:val="2"/>
        <w:spacing w:before="120" w:line="312" w:lineRule="auto"/>
        <w:jc w:val="center"/>
        <w:rPr>
          <w:color w:val="000000" w:themeColor="text1"/>
          <w:lang w:val="vi-VN"/>
          <w14:textFill>
            <w14:solidFill>
              <w14:schemeClr w14:val="tx1"/>
            </w14:solidFill>
          </w14:textFill>
        </w:rPr>
      </w:pPr>
      <w:bookmarkStart w:id="14" w:name="_Toc233183604"/>
      <w:r>
        <w:rPr>
          <w:color w:val="000000" w:themeColor="text1"/>
          <w:lang w:val="vi-VN"/>
          <w14:textFill>
            <w14:solidFill>
              <w14:schemeClr w14:val="tx1"/>
            </w14:solidFill>
          </w14:textFill>
        </w:rPr>
        <w:t>PHẦN II – BỐI CẢNH VÀ KINH NGHIỆM THỰC TẾ</w:t>
      </w:r>
      <w:bookmarkEnd w:id="14"/>
    </w:p>
    <w:p w14:paraId="0856D7DB">
      <w:pPr>
        <w:pStyle w:val="3"/>
        <w:rPr>
          <w:color w:val="000000" w:themeColor="text1"/>
          <w14:textFill>
            <w14:solidFill>
              <w14:schemeClr w14:val="tx1"/>
            </w14:solidFill>
          </w14:textFill>
        </w:rPr>
      </w:pPr>
      <w:bookmarkStart w:id="15" w:name="_Toc233183605"/>
      <w:bookmarkStart w:id="16" w:name="_Hlk230062190"/>
      <w:r>
        <w:rPr>
          <w:color w:val="000000" w:themeColor="text1"/>
          <w14:textFill>
            <w14:solidFill>
              <w14:schemeClr w14:val="tx1"/>
            </w14:solidFill>
          </w14:textFill>
        </w:rPr>
        <w:t>I. BỐI CẢNH QUỐC TẾ VÀ TRONG NƯỚC</w:t>
      </w:r>
      <w:bookmarkEnd w:id="15"/>
      <w:r>
        <w:rPr>
          <w:color w:val="000000" w:themeColor="text1"/>
          <w14:textFill>
            <w14:solidFill>
              <w14:schemeClr w14:val="tx1"/>
            </w14:solidFill>
          </w14:textFill>
        </w:rPr>
        <w:t xml:space="preserve"> </w:t>
      </w:r>
    </w:p>
    <w:bookmarkEnd w:id="16"/>
    <w:p w14:paraId="06A39386">
      <w:pPr>
        <w:pStyle w:val="4"/>
        <w:rPr>
          <w:color w:val="000000" w:themeColor="text1"/>
          <w14:textFill>
            <w14:solidFill>
              <w14:schemeClr w14:val="tx1"/>
            </w14:solidFill>
          </w14:textFill>
        </w:rPr>
      </w:pPr>
      <w:bookmarkStart w:id="17" w:name="_Toc233183606"/>
      <w:r>
        <w:rPr>
          <w:color w:val="000000" w:themeColor="text1"/>
          <w14:textFill>
            <w14:solidFill>
              <w14:schemeClr w14:val="tx1"/>
            </w14:solidFill>
          </w14:textFill>
        </w:rPr>
        <w:t>1.1. Bối cảnh quốc tế về sự phát triển của hệ sinh thái ĐMST cấp vùng</w:t>
      </w:r>
      <w:bookmarkEnd w:id="17"/>
    </w:p>
    <w:p w14:paraId="4C5F408A">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Trong xu thế cạnh tranh phát triển giữa các quốc gia và vùng lãnh thổ hiện nay, hệ sinh thái ĐMST đã trở thành một cấu phần quan trọng trong chiến lược phát triển của các quốc gia và vùng lãnh thổ nhằm nâng cao năng suất, năng lực cạnh tranh và khả năng thích ứng trước những thay đổi nhanh chóng của nền kinh tế số.</w:t>
      </w:r>
    </w:p>
    <w:p w14:paraId="7D3BC532">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Kinh nghiệm quốc tế cho thấy các hệ sinh thái ĐMST thành công thường được hình thành trên nền tảng các cụm ĐMST, trung tâm công nghệ hoặc hành lang đổi mới gắn với những ngành, lĩnh vực có lợi thế cạnh tranh như điện tử, công nghệ sinh học, tài chính số, bán dẫn, năng lượng sạch và sản xuất thông minh. Điểm chung của các mô hình này là sự liên kết chặt chẽ giữa doanh nghiệp, trường đại học, viện nghiên cứu, nhà đầu tư, các tổ chức trung gian và chính quyền địa phương nhằm thúc đẩy nghiên cứu, phát triển, chuyển giao công nghệ và thương mại hóa các kết quả nghiên cứu.</w:t>
      </w:r>
    </w:p>
    <w:p w14:paraId="790911E9">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 xml:space="preserve">Một xu hướng nổi bật trong những năm gần đây là sự chuyển dịch từ cách tiếp cận ĐMST ở cấp quốc gia sang cách tiếp cận dựa trên lợi thế và điều kiện đặc thù của từng địa phương, hay còn gọi là </w:t>
      </w:r>
      <w:r>
        <w:rPr>
          <w:i/>
          <w:iCs/>
          <w:color w:val="000000" w:themeColor="text1"/>
          <w:spacing w:val="-4"/>
          <w:sz w:val="26"/>
          <w:szCs w:val="26"/>
          <w:lang w:val="vi-VN"/>
          <w14:textFill>
            <w14:solidFill>
              <w14:schemeClr w14:val="tx1"/>
            </w14:solidFill>
          </w14:textFill>
        </w:rPr>
        <w:t>địa phương hóa ĐMST</w:t>
      </w:r>
      <w:r>
        <w:rPr>
          <w:color w:val="000000" w:themeColor="text1"/>
          <w:spacing w:val="-4"/>
          <w:sz w:val="26"/>
          <w:szCs w:val="26"/>
          <w:lang w:val="vi-VN"/>
          <w14:textFill>
            <w14:solidFill>
              <w14:schemeClr w14:val="tx1"/>
            </w14:solidFill>
          </w14:textFill>
        </w:rPr>
        <w:t>. Xu hướng này xuất phát từ thực tiễn cho thấy năng lực ĐMST không chỉ được quyết định bởi chính sách quốc gia mà còn chịu ảnh hưởng mạnh mẽ bởi các yếu tố địa phương như chất lượng nguồn nhân lực, hệ thống giáo dục đại học, cơ sở hạ tầng khoa học công nghệ, môi trường kinh doanh, văn hóa sáng tạo và mức độ phát triển của các cụm liên kết ngành. Các nghiên cứu của OECD (2020), World Bank (2021) và Liên minh châu Âu (2022) đều chỉ ra rằng ĐMST ngày càng tập trung ở cấp vùng và địa phương, nơi trực tiếp tạo ra các tác động lan tỏa đối với tăng trưởng kinh tế và nâng cao năng lực cạnh tranh quốc gia.</w:t>
      </w:r>
    </w:p>
    <w:p w14:paraId="6C01167F">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 xml:space="preserve">Thực tiễn quốc tế cho thấy nhiều trung tâm ĐMST hàng đầu thế giới được hình thành và phát triển từ chính lợi thế đặc thù của địa phương. Thung lũng Silicon (Hoa Kỳ) trở thành trung tâm công nghệ hàng đầu thế giới nhờ sự kết hợp giữa hệ thống đại học nghiên cứu chất lượng cao, nguồn vốn đầu tư mạo hiểm, văn hóa khởi nghiệp và môi trường chính sách thuận lợi. Tại Vương quốc Anh, cụm công nghệ Cambridge phát triển dựa trên mô hình liên kết giữa Đại học Cambridge, doanh nghiệp công nghệ và mạng lưới nhà đầu tư, tạo nên hiện tượng </w:t>
      </w:r>
      <w:r>
        <w:rPr>
          <w:i/>
          <w:iCs/>
          <w:color w:val="000000" w:themeColor="text1"/>
          <w:spacing w:val="-2"/>
          <w:sz w:val="26"/>
          <w:szCs w:val="26"/>
          <w:lang w:val="vi-VN"/>
          <w14:textFill>
            <w14:solidFill>
              <w14:schemeClr w14:val="tx1"/>
            </w14:solidFill>
          </w14:textFill>
        </w:rPr>
        <w:t>Cambridge Phenomenon</w:t>
      </w:r>
      <w:r>
        <w:rPr>
          <w:color w:val="000000" w:themeColor="text1"/>
          <w:spacing w:val="-2"/>
          <w:sz w:val="26"/>
          <w:szCs w:val="26"/>
          <w:lang w:val="vi-VN"/>
          <w14:textFill>
            <w14:solidFill>
              <w14:schemeClr w14:val="tx1"/>
            </w14:solidFill>
          </w14:textFill>
        </w:rPr>
        <w:t>, với hơn 5.000 doanh nghiệp công nghệ được hình thành và phát triển.</w:t>
      </w:r>
    </w:p>
    <w:p w14:paraId="00C8F3E9">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Tại châu Á, Pangyo Techno Valley của Hàn Quốc được xem là mô hình tiêu biểu cho phát triển hệ sinh thái ĐMST cấp vùng, với hơn 1.300 doanh nghiệp công nghệ cao tập trung hoạt động và đóng góp khoảng 12% vào tăng trưởng kinh tế của tỉnh Gyeonggi (2021). Thành công của mô hình này gắn liền với vai trò chủ động của chính quyền địa phương trong phát triển hạ tầng số, xây dựng cơ chế thử nghiệm chính sách (sandbox) và cung cấp các dịch vụ hỗ trợ doanh nghiệp. Tương tự, khu đổi mới One-North của Singapore được phát triển theo hướng chuyên môn hóa theo lĩnh vực công nghệ, nghiên cứu và ĐMST, trở thành nơi tập trung của hơn 400 tập đoàn đa quốc gia, viện nghiên cứu và hàng nghìn doanh nghiệp khởi nghiệp công nghệ.</w:t>
      </w:r>
    </w:p>
    <w:p w14:paraId="3841E92B">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Những kinh nghiệm trên cho thấy hệ sinh thái ĐMST không thể được xây dựng theo một khuôn mẫu chung mà cần được thiết kế dựa trên điều kiện phát triển, cấu trúc kinh tế và lợi thế cạnh tranh riêng của từng địa phương. Đồng thời, địa phương ngày càng trở thành hạt nhân quan trọng trong hệ thống ĐMST quốc gia, đóng vai trò hình thành các cực tăng trưởng mới dựa trên tri thức, công nghệ và ĐMST. Khi các trung tâm ĐMST địa phương được kết nối hiệu quả, sẽ tạo thành mạng lưới ĐMST đa trung tâm, góp phần phân bổ nguồn lực hợp lý, thúc đẩy liên kết vùng và nâng cao năng lực cạnh tranh quốc gia.</w:t>
      </w:r>
    </w:p>
    <w:p w14:paraId="539AE0F3">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Xu hướng địa phương hóa ĐMST cũng kéo theo sự thay đổi trong tư duy và phương thức hoạch định chính sách. Thay vì áp dụng các chính sách đồng nhất trên phạm vi cả nước, nhiều quốc gia đang chuyển sang xây dựng các chính sách ĐMST phù hợp với điều kiện và lợi thế của từng địa phương, đồng thời tăng cường đánh giá, đo lường và theo dõi hiệu quả hoạt động của hệ sinh thái ĐMST ở cấp vùng và cấp địa phương. Đây được xem là cơ sở quan trọng để thiết kế các chiến lược phát triển khoa học, công nghệ và ĐMST theo hướng hiệu quả, linh hoạt và bền vững hơn trong kỷ nguyên mới.</w:t>
      </w:r>
    </w:p>
    <w:p w14:paraId="77B4B6C5">
      <w:pPr>
        <w:pStyle w:val="4"/>
        <w:rPr>
          <w:color w:val="000000" w:themeColor="text1"/>
          <w14:textFill>
            <w14:solidFill>
              <w14:schemeClr w14:val="tx1"/>
            </w14:solidFill>
          </w14:textFill>
        </w:rPr>
      </w:pPr>
      <w:bookmarkStart w:id="18" w:name="_Toc233183607"/>
      <w:r>
        <w:rPr>
          <w:color w:val="000000" w:themeColor="text1"/>
          <w14:textFill>
            <w14:solidFill>
              <w14:schemeClr w14:val="tx1"/>
            </w14:solidFill>
          </w14:textFill>
        </w:rPr>
        <w:t>1.2. Bối cảnh trong nước về sự phát triển của hệ sinh thái ĐMST</w:t>
      </w:r>
      <w:bookmarkEnd w:id="18"/>
    </w:p>
    <w:p w14:paraId="7AB28D46">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Sau hơn một thập kỷ hình thành và phát triển, hệ sinh thái ĐMST của Việt Nam đang từng bước chuyển từ giai đoạn khởi tạo và hỗ trợ thử nghiệm sang giai đoạn phát triển theo chiều sâu, hoàn thiện thể chế và hội nhập quốc tế. Khoa học, công nghệ và ĐMST ngày càng được xác định là động lực quan trọng của tăng trưởng kinh tế, nâng cao năng suất lao động và năng lực cạnh tranh quốc gia.</w:t>
      </w:r>
      <w:r>
        <w:rPr>
          <w:rFonts w:hint="default"/>
          <w:color w:val="000000" w:themeColor="text1"/>
          <w:spacing w:val="-2"/>
          <w:sz w:val="26"/>
          <w:szCs w:val="26"/>
          <w:lang w:val="en-GB"/>
          <w14:textFill>
            <w14:solidFill>
              <w14:schemeClr w14:val="tx1"/>
            </w14:solidFill>
          </w14:textFill>
        </w:rPr>
        <w:t xml:space="preserve"> </w:t>
      </w:r>
      <w:r>
        <w:rPr>
          <w:color w:val="000000" w:themeColor="text1"/>
          <w:spacing w:val="-2"/>
          <w:sz w:val="26"/>
          <w:szCs w:val="26"/>
          <w:lang w:val="vi-VN"/>
          <w14:textFill>
            <w14:solidFill>
              <w14:schemeClr w14:val="tx1"/>
            </w14:solidFill>
          </w14:textFill>
        </w:rPr>
        <w:t>Những năm gần đây, Việt Nam liên tục ghi nhận những bước tiến tích cực trên các bảng xếp hạng quốc tế về đổi mới sáng tạo. Theo Tổ chức Sở hữu trí tuệ thế giới (WIPO), năm 2025 Việt Nam xếp thứ 44 toàn cầu về Chỉ số Đổi mới sáng tạo toàn cầu (Global Innovation Index - GII), đứng thứ hai trong nhóm các quốc gia có thu nhập trung bình thấp và thuộc nhóm ba quốc gia dẫn đầu ASEAN. Việt Nam hiện có khoảng 4.000 doanh nghiệp khởi nghiệp đổi mới sáng tạo, 02 doanh nghiệp kỳ lân công nghệ, nằm trong nhóm 5 hệ sinh thái khởi nghiệp hàng đầu Đông Nam Á và thuộc nhóm các hệ sinh thái tăng trưởng nhanh của thế giới.</w:t>
      </w:r>
    </w:p>
    <w:p w14:paraId="2EE2C29F">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Song song với sự phát triển của khu vực doanh nghiệp và hệ sinh thái khởi nghiệp, khung khổ thể chế về ĐMST cũng đang từng bước được hoàn thiện. Đặc biệt, Nghị quyết số 57-NQ/TW ngày 22/12/2024 của Bộ Chính trị về đột phá phát triển khoa học, công nghệ, đổi mới sáng tạo và chuyển đổi số quốc gia cùng Luật Khoa học, Công nghệ và Đổi mới sáng tạo số 93/2025/QH15 đã tạo nền tảng quan trọng để phát triển hệ sinh thái đổi mới sáng tạo quốc gia. Các quy định mới đã bước đầu hình thành hành lang pháp lý cho việc phát triển trung tâm đổi mới sáng tạo, hệ sinh thái khởi nghiệp sáng tạo, cơ chế sandbox, hỗ trợ doanh nghiệp ĐMST và thúc đẩy thương mại hóa công nghệ.</w:t>
      </w:r>
    </w:p>
    <w:p w14:paraId="4C5121E8">
      <w:pPr>
        <w:spacing w:before="120" w:line="312" w:lineRule="auto"/>
        <w:ind w:firstLine="72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Sự phát triển của hệ sinh thái ĐMST Việt Nam trong những năm gần đây cũng được phản ánh rõ nét thông qua các đánh giá quốc tế về hệ sinh thái khởi nghiệp sáng tạo. Một trong những bộ chỉ số có uy tín và được sử dụng rộng rãi trên thế giới là StartupBlink Global Startup Ecosystem Index – hệ thống đánh giá thường niên về năng lực và mức độ phát triển của các hệ sinh thái khởi nghiệp tại hơn 120 quốc gia và 1.500 thành phố trên toàn cầu. </w:t>
      </w:r>
    </w:p>
    <w:p w14:paraId="7CC7E718">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Theo Báo cáo StartupBlink Global Startup Ecosystem Index giai đoạn 2022–2026, Việt Nam duy trì xu hướng cải thiện vị thế một cách liên tục trên bản đồ khởi nghiệp toàn cầu. Nếu năm 2022 Việt Nam đứng thứ 54 thế giới thì đến năm 2026 đã vươn lên vị trí thứ 50, lần đầu tiên lọt vào nhóm 50 hệ sinh thái khởi nghiệp hàng đầu thế giới. Không chỉ cải thiện về thứ hạng, tốc độ phát triển của hệ sinh thái khởi nghiệp Việt Nam cũng được đánh giá thuộc nhóm cao nhất thế giới. Năm 2026, StartupBlink ghi nhận mức tăng trưởng hệ sinh thái của Việt Nam đạt 67,9%, cao nhất khu vực Đông Nam Á và thuộc nhóm các hệ sinh thái tăng trưởng nhanh nhất trong nhóm các quốc gia xếp hạng từ 21 đến 50 toàn cầu. Kết quả này cho thấy Việt Nam đang bước vào giai đoạn tăng trưởng mạnh mẽ của hệ sinh thái đổi mới sáng tạo, với sự gia tăng cả về số lượng doanh nghiệp khởi nghiệp, chất lượng hoạt động ĐMST, mức độ thu hút đầu tư cũng như khả năng kết nối với mạng lưới ĐMST quốc tế.</w:t>
      </w:r>
    </w:p>
    <w:p w14:paraId="1BF98233">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Trong phạm vi khu vực, vị thế của Việt Nam cũng được cải thiện đáng kể. Từ vị trí Top 5 ASEAN trong nhiều năm liên tiếp, đến năm 2026 Việt Nam đã vươn lên Top 4 hệ sinh thái khởi nghiệp hàng đầu Đông Nam Á. Điều này cho thấy khoảng cách giữa Việt Nam với các quốc gia dẫn đầu khu vực đang từng bước được thu hẹp, đồng thời phản ánh hiệu quả của các chính sách thúc đẩy khởi nghiệp sáng tạo và phát triển doanh nghiệp công nghệ được triển khai trong thời gian qua.</w:t>
      </w:r>
    </w:p>
    <w:p w14:paraId="4E04A961">
      <w:pPr>
        <w:spacing w:before="120" w:line="312" w:lineRule="auto"/>
        <w:jc w:val="center"/>
        <w:rPr>
          <w:b/>
          <w:bCs/>
          <w:color w:val="000000" w:themeColor="text1"/>
          <w:spacing w:val="-8"/>
          <w:sz w:val="26"/>
          <w:szCs w:val="26"/>
          <w:lang w:val="vi-VN"/>
          <w14:textFill>
            <w14:solidFill>
              <w14:schemeClr w14:val="tx1"/>
            </w14:solidFill>
          </w14:textFill>
        </w:rPr>
      </w:pPr>
      <w:r>
        <w:rPr>
          <w:b/>
          <w:bCs/>
          <w:color w:val="000000" w:themeColor="text1"/>
          <w:spacing w:val="-8"/>
          <w:sz w:val="26"/>
          <w:szCs w:val="26"/>
          <w:lang w:val="vi-VN"/>
          <w14:textFill>
            <w14:solidFill>
              <w14:schemeClr w14:val="tx1"/>
            </w14:solidFill>
          </w14:textFill>
        </w:rPr>
        <w:t>Bảng 1. Xếp hạng hệ sinh thái khởi nghiệp Việt Nam theo StartupBlink (2022–2026)</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2370"/>
        <w:gridCol w:w="2370"/>
        <w:gridCol w:w="2371"/>
      </w:tblGrid>
      <w:tr w14:paraId="2D1F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23E2D9B0">
            <w:pPr>
              <w:spacing w:before="120" w:line="312" w:lineRule="auto"/>
              <w:jc w:val="center"/>
              <w:rPr>
                <w:color w:val="000000" w:themeColor="text1"/>
                <w:spacing w:val="-2"/>
                <w:sz w:val="26"/>
                <w:szCs w:val="26"/>
                <w:lang w:val="en-US"/>
                <w14:textFill>
                  <w14:solidFill>
                    <w14:schemeClr w14:val="tx1"/>
                  </w14:solidFill>
                </w14:textFill>
              </w:rPr>
            </w:pPr>
            <w:r>
              <w:rPr>
                <w:b/>
                <w:bCs/>
                <w:color w:val="000000" w:themeColor="text1"/>
                <w:spacing w:val="-2"/>
                <w:sz w:val="26"/>
                <w:szCs w:val="26"/>
                <w:lang w:val="en-US"/>
                <w14:textFill>
                  <w14:solidFill>
                    <w14:schemeClr w14:val="tx1"/>
                  </w14:solidFill>
                </w14:textFill>
              </w:rPr>
              <w:t>Năm</w:t>
            </w:r>
          </w:p>
        </w:tc>
        <w:tc>
          <w:tcPr>
            <w:tcW w:w="1250" w:type="pct"/>
            <w:vAlign w:val="center"/>
          </w:tcPr>
          <w:p w14:paraId="50C5FA8C">
            <w:pPr>
              <w:spacing w:before="120" w:line="312" w:lineRule="auto"/>
              <w:jc w:val="center"/>
              <w:rPr>
                <w:color w:val="000000" w:themeColor="text1"/>
                <w:spacing w:val="-2"/>
                <w:sz w:val="26"/>
                <w:szCs w:val="26"/>
                <w:lang w:val="en-US"/>
                <w14:textFill>
                  <w14:solidFill>
                    <w14:schemeClr w14:val="tx1"/>
                  </w14:solidFill>
                </w14:textFill>
              </w:rPr>
            </w:pPr>
            <w:r>
              <w:rPr>
                <w:b/>
                <w:bCs/>
                <w:color w:val="000000" w:themeColor="text1"/>
                <w:spacing w:val="-2"/>
                <w:sz w:val="26"/>
                <w:szCs w:val="26"/>
                <w:lang w:val="en-US"/>
                <w14:textFill>
                  <w14:solidFill>
                    <w14:schemeClr w14:val="tx1"/>
                  </w14:solidFill>
                </w14:textFill>
              </w:rPr>
              <w:t>Xếp hạng toàn cầu</w:t>
            </w:r>
          </w:p>
        </w:tc>
        <w:tc>
          <w:tcPr>
            <w:tcW w:w="1250" w:type="pct"/>
            <w:vAlign w:val="center"/>
          </w:tcPr>
          <w:p w14:paraId="56299CE2">
            <w:pPr>
              <w:spacing w:before="120" w:line="312" w:lineRule="auto"/>
              <w:jc w:val="center"/>
              <w:rPr>
                <w:color w:val="000000" w:themeColor="text1"/>
                <w:spacing w:val="-2"/>
                <w:sz w:val="26"/>
                <w:szCs w:val="26"/>
                <w:lang w:val="en-US"/>
                <w14:textFill>
                  <w14:solidFill>
                    <w14:schemeClr w14:val="tx1"/>
                  </w14:solidFill>
                </w14:textFill>
              </w:rPr>
            </w:pPr>
            <w:r>
              <w:rPr>
                <w:b/>
                <w:bCs/>
                <w:color w:val="000000" w:themeColor="text1"/>
                <w:spacing w:val="-2"/>
                <w:sz w:val="26"/>
                <w:szCs w:val="26"/>
                <w:lang w:val="en-US"/>
                <w14:textFill>
                  <w14:solidFill>
                    <w14:schemeClr w14:val="tx1"/>
                  </w14:solidFill>
                </w14:textFill>
              </w:rPr>
              <w:t>Vị trí ASEAN</w:t>
            </w:r>
          </w:p>
        </w:tc>
        <w:tc>
          <w:tcPr>
            <w:tcW w:w="1250" w:type="pct"/>
            <w:vAlign w:val="center"/>
          </w:tcPr>
          <w:p w14:paraId="157463A5">
            <w:pPr>
              <w:spacing w:before="120" w:line="312" w:lineRule="auto"/>
              <w:jc w:val="center"/>
              <w:rPr>
                <w:color w:val="000000" w:themeColor="text1"/>
                <w:spacing w:val="-2"/>
                <w:sz w:val="26"/>
                <w:szCs w:val="26"/>
                <w:lang w:val="en-US"/>
                <w14:textFill>
                  <w14:solidFill>
                    <w14:schemeClr w14:val="tx1"/>
                  </w14:solidFill>
                </w14:textFill>
              </w:rPr>
            </w:pPr>
            <w:r>
              <w:rPr>
                <w:b/>
                <w:bCs/>
                <w:color w:val="000000" w:themeColor="text1"/>
                <w:spacing w:val="-2"/>
                <w:sz w:val="26"/>
                <w:szCs w:val="26"/>
                <w:lang w:val="en-US"/>
                <w14:textFill>
                  <w14:solidFill>
                    <w14:schemeClr w14:val="tx1"/>
                  </w14:solidFill>
                </w14:textFill>
              </w:rPr>
              <w:t>Tăng trưởng</w:t>
            </w:r>
          </w:p>
        </w:tc>
      </w:tr>
      <w:tr w14:paraId="6146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28B54A89">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2022</w:t>
            </w:r>
          </w:p>
        </w:tc>
        <w:tc>
          <w:tcPr>
            <w:tcW w:w="1250" w:type="pct"/>
            <w:vAlign w:val="center"/>
          </w:tcPr>
          <w:p w14:paraId="4DF9367F">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#54</w:t>
            </w:r>
          </w:p>
        </w:tc>
        <w:tc>
          <w:tcPr>
            <w:tcW w:w="1250" w:type="pct"/>
            <w:vAlign w:val="center"/>
          </w:tcPr>
          <w:p w14:paraId="6CAC7FF9">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Top 5</w:t>
            </w:r>
          </w:p>
        </w:tc>
        <w:tc>
          <w:tcPr>
            <w:tcW w:w="1250" w:type="pct"/>
            <w:vAlign w:val="center"/>
          </w:tcPr>
          <w:p w14:paraId="30B66B7E">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w:t>
            </w:r>
          </w:p>
        </w:tc>
      </w:tr>
      <w:tr w14:paraId="74DB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6C950B7B">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2023</w:t>
            </w:r>
          </w:p>
        </w:tc>
        <w:tc>
          <w:tcPr>
            <w:tcW w:w="1250" w:type="pct"/>
            <w:vAlign w:val="center"/>
          </w:tcPr>
          <w:p w14:paraId="2CE65FCD">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#58</w:t>
            </w:r>
          </w:p>
        </w:tc>
        <w:tc>
          <w:tcPr>
            <w:tcW w:w="1250" w:type="pct"/>
            <w:vAlign w:val="center"/>
          </w:tcPr>
          <w:p w14:paraId="1CF60787">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Top 5</w:t>
            </w:r>
          </w:p>
        </w:tc>
        <w:tc>
          <w:tcPr>
            <w:tcW w:w="1250" w:type="pct"/>
            <w:vAlign w:val="center"/>
          </w:tcPr>
          <w:p w14:paraId="258B8788">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-7,4%</w:t>
            </w:r>
          </w:p>
        </w:tc>
      </w:tr>
      <w:tr w14:paraId="2F6F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19B880DB">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2024</w:t>
            </w:r>
          </w:p>
        </w:tc>
        <w:tc>
          <w:tcPr>
            <w:tcW w:w="1250" w:type="pct"/>
            <w:vAlign w:val="center"/>
          </w:tcPr>
          <w:p w14:paraId="5634191D">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#56</w:t>
            </w:r>
          </w:p>
        </w:tc>
        <w:tc>
          <w:tcPr>
            <w:tcW w:w="1250" w:type="pct"/>
            <w:vAlign w:val="center"/>
          </w:tcPr>
          <w:p w14:paraId="27B45949">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Top 5</w:t>
            </w:r>
          </w:p>
        </w:tc>
        <w:tc>
          <w:tcPr>
            <w:tcW w:w="1250" w:type="pct"/>
            <w:vAlign w:val="center"/>
          </w:tcPr>
          <w:p w14:paraId="4CD200A3">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+3,5%</w:t>
            </w:r>
          </w:p>
        </w:tc>
      </w:tr>
      <w:tr w14:paraId="6163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5CD480EF">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2025</w:t>
            </w:r>
          </w:p>
        </w:tc>
        <w:tc>
          <w:tcPr>
            <w:tcW w:w="1250" w:type="pct"/>
            <w:vAlign w:val="center"/>
          </w:tcPr>
          <w:p w14:paraId="5F634543">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#55</w:t>
            </w:r>
          </w:p>
        </w:tc>
        <w:tc>
          <w:tcPr>
            <w:tcW w:w="1250" w:type="pct"/>
            <w:vAlign w:val="center"/>
          </w:tcPr>
          <w:p w14:paraId="7E64FF84">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Top 5</w:t>
            </w:r>
          </w:p>
        </w:tc>
        <w:tc>
          <w:tcPr>
            <w:tcW w:w="1250" w:type="pct"/>
            <w:vAlign w:val="center"/>
          </w:tcPr>
          <w:p w14:paraId="03AB658A">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+17,9%</w:t>
            </w:r>
          </w:p>
        </w:tc>
      </w:tr>
      <w:tr w14:paraId="4B54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31BF317B">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2026</w:t>
            </w:r>
          </w:p>
        </w:tc>
        <w:tc>
          <w:tcPr>
            <w:tcW w:w="1250" w:type="pct"/>
            <w:vAlign w:val="center"/>
          </w:tcPr>
          <w:p w14:paraId="0EDA142D">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#50</w:t>
            </w:r>
          </w:p>
        </w:tc>
        <w:tc>
          <w:tcPr>
            <w:tcW w:w="1250" w:type="pct"/>
            <w:vAlign w:val="center"/>
          </w:tcPr>
          <w:p w14:paraId="5F44C9AE">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Top 4</w:t>
            </w:r>
          </w:p>
        </w:tc>
        <w:tc>
          <w:tcPr>
            <w:tcW w:w="1250" w:type="pct"/>
            <w:vAlign w:val="center"/>
          </w:tcPr>
          <w:p w14:paraId="6CF9EF0D">
            <w:pPr>
              <w:spacing w:before="120" w:line="312" w:lineRule="auto"/>
              <w:jc w:val="center"/>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+67,9%</w:t>
            </w:r>
          </w:p>
        </w:tc>
      </w:tr>
    </w:tbl>
    <w:p w14:paraId="0B79A675">
      <w:pPr>
        <w:spacing w:before="120" w:line="312" w:lineRule="auto"/>
        <w:ind w:firstLine="720"/>
        <w:rPr>
          <w:color w:val="000000" w:themeColor="text1"/>
          <w:spacing w:val="-8"/>
          <w:sz w:val="26"/>
          <w:szCs w:val="26"/>
          <w:lang w:val="en-US"/>
          <w14:textFill>
            <w14:solidFill>
              <w14:schemeClr w14:val="tx1"/>
            </w14:solidFill>
          </w14:textFill>
        </w:rPr>
      </w:pPr>
      <w:r>
        <w:rPr>
          <w:color w:val="000000" w:themeColor="text1"/>
          <w:spacing w:val="-8"/>
          <w:sz w:val="26"/>
          <w:szCs w:val="26"/>
          <w:lang w:val="en-US"/>
          <w14:textFill>
            <w14:solidFill>
              <w14:schemeClr w14:val="tx1"/>
            </w14:solidFill>
          </w14:textFill>
        </w:rPr>
        <w:t xml:space="preserve">Một xu hướng đáng chú ý là hệ sinh thái </w:t>
      </w:r>
      <w:r>
        <w:rPr>
          <w:color w:val="000000" w:themeColor="text1"/>
          <w:spacing w:val="-8"/>
          <w:sz w:val="26"/>
          <w:szCs w:val="26"/>
          <w:lang w:val="en-GB"/>
          <w14:textFill>
            <w14:solidFill>
              <w14:schemeClr w14:val="tx1"/>
            </w14:solidFill>
          </w14:textFill>
        </w:rPr>
        <w:t>ĐMST</w:t>
      </w:r>
      <w:r>
        <w:rPr>
          <w:color w:val="000000" w:themeColor="text1"/>
          <w:spacing w:val="-8"/>
          <w:sz w:val="26"/>
          <w:szCs w:val="26"/>
          <w:lang w:val="vi-VN"/>
          <w14:textFill>
            <w14:solidFill>
              <w14:schemeClr w14:val="tx1"/>
            </w14:solidFill>
          </w14:textFill>
        </w:rPr>
        <w:t xml:space="preserve"> </w:t>
      </w:r>
      <w:r>
        <w:rPr>
          <w:color w:val="000000" w:themeColor="text1"/>
          <w:spacing w:val="-8"/>
          <w:sz w:val="26"/>
          <w:szCs w:val="26"/>
          <w:lang w:val="en-US"/>
          <w14:textFill>
            <w14:solidFill>
              <w14:schemeClr w14:val="tx1"/>
            </w14:solidFill>
          </w14:textFill>
        </w:rPr>
        <w:t>Việt Nam không còn tập trung tuyệt đối vào hai đô thị lớn là Hà Nội và Thành phố Hồ Chí Minh mà đang từng bước lan tỏa sang nhiều địa phương khác. Nếu như giai đoạn đầu hệ sinh thái đổi mới sáng tạo chủ yếu hình thành tại Hà Nội và Thành phố Hồ Chí Minh, thì đến năm 2026 đã có bốn thành phố của Việt Nam xuất hiện trong Top 1.000 thành phố khởi nghiệp toàn cầu.</w:t>
      </w:r>
    </w:p>
    <w:p w14:paraId="54F395BE">
      <w:pPr>
        <w:spacing w:before="120" w:line="312" w:lineRule="auto"/>
        <w:ind w:firstLine="720"/>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 xml:space="preserve">Thành phố Hồ Chí Minh tiếp tục giữ vai trò đầu tàu của hệ sinh thái đổi mới sáng tạo quốc gia khi lần đầu tiên gia nhập Top 100 hệ sinh thái khởi nghiệp toàn cầu với vị trí thứ 98. Thành phố nổi bật trong các lĩnh vực công nghệ tài chính (Fintech), Blockchain và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vi-VN"/>
          <w14:textFill>
            <w14:solidFill>
              <w14:schemeClr w14:val="tx1"/>
            </w14:solidFill>
          </w14:textFill>
        </w:rPr>
        <w:t xml:space="preserve"> </w:t>
      </w:r>
      <w:r>
        <w:rPr>
          <w:color w:val="000000" w:themeColor="text1"/>
          <w:spacing w:val="-2"/>
          <w:sz w:val="26"/>
          <w:szCs w:val="26"/>
          <w:lang w:val="en-US"/>
          <w14:textFill>
            <w14:solidFill>
              <w14:schemeClr w14:val="tx1"/>
            </w14:solidFill>
          </w14:textFill>
        </w:rPr>
        <w:t xml:space="preserve">dựa trên nền tảng số. </w:t>
      </w:r>
    </w:p>
    <w:p w14:paraId="1FC47F8E">
      <w:pPr>
        <w:spacing w:before="120" w:line="312" w:lineRule="auto"/>
        <w:ind w:firstLine="720"/>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 xml:space="preserve">Hà Nội tiếp tục khẳng định vai trò là trung tâm nghiên cứu, đào tạo và đổi mới sáng tạo hàng đầu của cả nước, tập trung nhiều trường đại học, viện nghiên cứu, doanh nghiệp công nghệ và tổ chức hỗ trợ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en-US"/>
          <w14:textFill>
            <w14:solidFill>
              <w14:schemeClr w14:val="tx1"/>
            </w14:solidFill>
          </w14:textFill>
        </w:rPr>
        <w:t xml:space="preserve"> có quy mô lớn. Với hệ sinh thái tri thức phát triển toàn diện, Hà Nội duy trì thế mạnh nổi bật trong các lĩnh vực logistics, công nghệ giáo dục, y tế, tài chính và các dịch vụ dựa trên tri thức, đồng thời là địa phương dẫn đầu cả nước về số lượng doanh nghiệp khởi nghiệp sáng tạo, nguồn nhân lực chất lượng cao và hoạt động nghiên cứu, phát triển công nghệ.</w:t>
      </w:r>
    </w:p>
    <w:p w14:paraId="505E22C8">
      <w:pPr>
        <w:spacing w:before="120" w:line="312" w:lineRule="auto"/>
        <w:ind w:firstLine="720"/>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Trong khi đó, Đà Nẵng nổi lên là địa phương có tốc độ phát triển hệ sinh thái đổi mới sáng tạo nhanh nhất cả nước khi tăng từ vị trí thứ 766 năm 2025 lên vị trí thứ 554 năm 2026, tương đương mức tăng 212 bậc chỉ trong vòng một năm.</w:t>
      </w:r>
    </w:p>
    <w:p w14:paraId="46693556">
      <w:pPr>
        <w:spacing w:before="120" w:line="312" w:lineRule="auto"/>
        <w:ind w:firstLine="720"/>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Đặc biệt, Hải Phòng lần đầu tiên xuất hiện trong Top 1.000 thành phố khởi nghiệp toàn cầu, phản ánh xu hướng mở rộng không gian đổi mới sáng tạo sang các địa phương có thế mạnh về công nghiệp, logistics và công nghệ cao.</w:t>
      </w:r>
    </w:p>
    <w:p w14:paraId="4D30068C">
      <w:pPr>
        <w:spacing w:before="120" w:line="312" w:lineRule="auto"/>
        <w:jc w:val="center"/>
        <w:rPr>
          <w:b/>
          <w:bCs/>
          <w:color w:val="000000" w:themeColor="text1"/>
          <w:spacing w:val="-8"/>
          <w:sz w:val="26"/>
          <w:szCs w:val="26"/>
          <w:lang w:val="en-US"/>
          <w14:textFill>
            <w14:solidFill>
              <w14:schemeClr w14:val="tx1"/>
            </w14:solidFill>
          </w14:textFill>
        </w:rPr>
      </w:pPr>
      <w:r>
        <w:rPr>
          <w:b/>
          <w:bCs/>
          <w:color w:val="000000" w:themeColor="text1"/>
          <w:spacing w:val="-8"/>
          <w:sz w:val="26"/>
          <w:szCs w:val="26"/>
          <w:lang w:val="en-US"/>
          <w14:textFill>
            <w14:solidFill>
              <w14:schemeClr w14:val="tx1"/>
            </w14:solidFill>
          </w14:textFill>
        </w:rPr>
        <w:t>Bảng 2. Xếp hạng hệ sinh thái khởi nghiệp Việt Nam theo StartupBlink (2026)</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9"/>
        <w:gridCol w:w="3358"/>
        <w:gridCol w:w="3064"/>
      </w:tblGrid>
      <w:tr w14:paraId="5966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1613" w:type="pct"/>
          </w:tcPr>
          <w:p w14:paraId="46780EB0">
            <w:pPr>
              <w:spacing w:after="60"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#50</w:t>
            </w:r>
          </w:p>
          <w:p w14:paraId="06D84A03">
            <w:pPr>
              <w:spacing w:after="1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Xếp hạng Việt Nam toàn cầu</w:t>
            </w:r>
          </w:p>
          <w:p w14:paraId="329C00ED">
            <w:pPr>
              <w:spacing w:after="5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(2026)</w:t>
            </w:r>
          </w:p>
          <w:p w14:paraId="25DC418A">
            <w:pPr>
              <w:spacing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i/>
                <w:color w:val="000000" w:themeColor="text1"/>
                <w:kern w:val="2"/>
                <w:sz w:val="26"/>
                <w:szCs w:val="26"/>
                <w14:textFill>
                  <w14:solidFill>
                    <w14:schemeClr w14:val="tx1"/>
                  </w14:solidFill>
                </w14:textFill>
                <w14:ligatures w14:val="standardContextual"/>
              </w:rPr>
              <w:t>Cao nhất lịch sử (+5 bậc)</w:t>
            </w:r>
          </w:p>
        </w:tc>
        <w:tc>
          <w:tcPr>
            <w:tcW w:w="1771" w:type="pct"/>
          </w:tcPr>
          <w:p w14:paraId="0DCB22E1">
            <w:pPr>
              <w:spacing w:after="60"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#98</w:t>
            </w:r>
          </w:p>
          <w:p w14:paraId="4505B9C0">
            <w:pPr>
              <w:spacing w:after="1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Xếp hạng TP. Hồ Chí Minh</w:t>
            </w:r>
          </w:p>
          <w:p w14:paraId="07B3D471">
            <w:pPr>
              <w:spacing w:after="5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(2026)</w:t>
            </w:r>
          </w:p>
          <w:p w14:paraId="18E9B6CA">
            <w:pPr>
              <w:spacing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i/>
                <w:color w:val="000000" w:themeColor="text1"/>
                <w:kern w:val="2"/>
                <w:sz w:val="26"/>
                <w:szCs w:val="26"/>
                <w14:textFill>
                  <w14:solidFill>
                    <w14:schemeClr w14:val="tx1"/>
                  </w14:solidFill>
                </w14:textFill>
                <w14:ligatures w14:val="standardContextual"/>
              </w:rPr>
              <w:t>Lần đầu vào Top 100 thế giới</w:t>
            </w:r>
          </w:p>
        </w:tc>
        <w:tc>
          <w:tcPr>
            <w:tcW w:w="1616" w:type="pct"/>
          </w:tcPr>
          <w:p w14:paraId="59161EA6">
            <w:pPr>
              <w:spacing w:after="60"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+67,9%</w:t>
            </w:r>
          </w:p>
          <w:p w14:paraId="40A2BA25">
            <w:pPr>
              <w:spacing w:after="10" w:line="259" w:lineRule="auto"/>
              <w:ind w:left="-160" w:right="-110"/>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Tăng trưởng hệ sinh thái</w:t>
            </w:r>
          </w:p>
          <w:p w14:paraId="3DCBF03D">
            <w:pPr>
              <w:spacing w:after="5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2026</w:t>
            </w:r>
          </w:p>
          <w:p w14:paraId="53CC22FC">
            <w:pPr>
              <w:spacing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i/>
                <w:color w:val="000000" w:themeColor="text1"/>
                <w:kern w:val="2"/>
                <w:sz w:val="26"/>
                <w:szCs w:val="26"/>
                <w14:textFill>
                  <w14:solidFill>
                    <w14:schemeClr w14:val="tx1"/>
                  </w14:solidFill>
                </w14:textFill>
                <w14:ligatures w14:val="standardContextual"/>
              </w:rPr>
              <w:t>Cao nhất Đông Nam Á</w:t>
            </w:r>
          </w:p>
        </w:tc>
      </w:tr>
      <w:tr w14:paraId="2510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1613" w:type="pct"/>
          </w:tcPr>
          <w:p w14:paraId="5EABDCF2">
            <w:pPr>
              <w:spacing w:after="60"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#554</w:t>
            </w:r>
          </w:p>
          <w:p w14:paraId="024813CC">
            <w:pPr>
              <w:spacing w:after="5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Xếp hạng Đà Nẵng (2026)</w:t>
            </w:r>
          </w:p>
          <w:p w14:paraId="222C3175">
            <w:pPr>
              <w:spacing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i/>
                <w:color w:val="000000" w:themeColor="text1"/>
                <w:kern w:val="2"/>
                <w:sz w:val="26"/>
                <w:szCs w:val="26"/>
                <w14:textFill>
                  <w14:solidFill>
                    <w14:schemeClr w14:val="tx1"/>
                  </w14:solidFill>
                </w14:textFill>
                <w14:ligatures w14:val="standardContextual"/>
              </w:rPr>
              <w:t>Tăng 212 bậc (từ #766)</w:t>
            </w:r>
          </w:p>
        </w:tc>
        <w:tc>
          <w:tcPr>
            <w:tcW w:w="1771" w:type="pct"/>
          </w:tcPr>
          <w:p w14:paraId="14721FC3">
            <w:pPr>
              <w:spacing w:after="60"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Top 4</w:t>
            </w:r>
          </w:p>
          <w:p w14:paraId="7939468A">
            <w:pPr>
              <w:spacing w:after="1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Vị trí khu vực Đông Nam Á</w:t>
            </w:r>
          </w:p>
          <w:p w14:paraId="25542002">
            <w:pPr>
              <w:spacing w:after="5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(2026)</w:t>
            </w:r>
          </w:p>
          <w:p w14:paraId="275CBA94">
            <w:pPr>
              <w:spacing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i/>
                <w:color w:val="000000" w:themeColor="text1"/>
                <w:kern w:val="2"/>
                <w:sz w:val="26"/>
                <w:szCs w:val="26"/>
                <w14:textFill>
                  <w14:solidFill>
                    <w14:schemeClr w14:val="tx1"/>
                  </w14:solidFill>
                </w14:textFill>
                <w14:ligatures w14:val="standardContextual"/>
              </w:rPr>
              <w:t>Lần đầu vượt hạng trong khu vực</w:t>
            </w:r>
          </w:p>
        </w:tc>
        <w:tc>
          <w:tcPr>
            <w:tcW w:w="1616" w:type="pct"/>
          </w:tcPr>
          <w:p w14:paraId="2B6E8F0B">
            <w:pPr>
              <w:spacing w:after="60"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4 thành phố</w:t>
            </w:r>
          </w:p>
          <w:p w14:paraId="4B725337">
            <w:pPr>
              <w:spacing w:after="50" w:line="259" w:lineRule="auto"/>
              <w:jc w:val="center"/>
              <w:rPr>
                <w:rFonts w:eastAsiaTheme="minorEastAsia"/>
                <w:color w:val="000000" w:themeColor="text1"/>
                <w:sz w:val="26"/>
                <w:szCs w:val="26"/>
                <w14:textFill>
                  <w14:solidFill>
                    <w14:schemeClr w14:val="tx1"/>
                  </w14:solidFill>
                </w14:textFill>
              </w:rPr>
            </w:pPr>
            <w:r>
              <w:rPr>
                <w:rFonts w:eastAsiaTheme="minorEastAsia"/>
                <w:b/>
                <w:color w:val="000000" w:themeColor="text1"/>
                <w:kern w:val="2"/>
                <w:sz w:val="26"/>
                <w:szCs w:val="26"/>
                <w14:textFill>
                  <w14:solidFill>
                    <w14:schemeClr w14:val="tx1"/>
                  </w14:solidFill>
                </w14:textFill>
                <w14:ligatures w14:val="standardContextual"/>
              </w:rPr>
              <w:t>Số thành phố vào Top 1.000</w:t>
            </w:r>
          </w:p>
          <w:p w14:paraId="7BEF43FC">
            <w:pPr>
              <w:spacing w:line="259" w:lineRule="auto"/>
              <w:ind w:right="45"/>
              <w:jc w:val="center"/>
              <w:rPr>
                <w:rFonts w:eastAsiaTheme="minorEastAsia"/>
                <w:color w:val="000000" w:themeColor="text1"/>
                <w:sz w:val="26"/>
                <w:szCs w:val="26"/>
                <w14:textFill>
                  <w14:solidFill>
                    <w14:schemeClr w14:val="tx1"/>
                  </w14:solidFill>
                </w14:textFill>
              </w:rPr>
            </w:pPr>
            <w:r>
              <w:rPr>
                <w:rFonts w:eastAsiaTheme="minorEastAsia"/>
                <w:i/>
                <w:color w:val="000000" w:themeColor="text1"/>
                <w:kern w:val="2"/>
                <w:sz w:val="26"/>
                <w:szCs w:val="26"/>
                <w14:textFill>
                  <w14:solidFill>
                    <w14:schemeClr w14:val="tx1"/>
                  </w14:solidFill>
                </w14:textFill>
                <w14:ligatures w14:val="standardContextual"/>
              </w:rPr>
              <w:t>Lần đầu Hải Phòng xuất hiện</w:t>
            </w:r>
          </w:p>
        </w:tc>
      </w:tr>
    </w:tbl>
    <w:p w14:paraId="77B67449">
      <w:pPr>
        <w:spacing w:before="120" w:line="312" w:lineRule="auto"/>
        <w:ind w:firstLine="720"/>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 xml:space="preserve">Sự phát triển của các trung tâm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vi-VN"/>
          <w14:textFill>
            <w14:solidFill>
              <w14:schemeClr w14:val="tx1"/>
            </w14:solidFill>
          </w14:textFill>
        </w:rPr>
        <w:t xml:space="preserve"> </w:t>
      </w:r>
      <w:r>
        <w:rPr>
          <w:color w:val="000000" w:themeColor="text1"/>
          <w:spacing w:val="-2"/>
          <w:sz w:val="26"/>
          <w:szCs w:val="26"/>
          <w:lang w:val="en-US"/>
          <w14:textFill>
            <w14:solidFill>
              <w14:schemeClr w14:val="tx1"/>
            </w14:solidFill>
          </w14:textFill>
        </w:rPr>
        <w:t xml:space="preserve">địa phương cũng được phản ánh thông qua Chỉ số Đổi mới sáng tạo cấp địa phương (Provincial Innovation Index - PII). Kết quả đánh giá PII năm 2025 cho thấy Việt Nam đang từng bước hình thành các vùng hệ sinh thái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en-US"/>
          <w14:textFill>
            <w14:solidFill>
              <w14:schemeClr w14:val="tx1"/>
            </w14:solidFill>
          </w14:textFill>
        </w:rPr>
        <w:t xml:space="preserve"> với đặc trưng phát triển riêng:</w:t>
      </w:r>
    </w:p>
    <w:p w14:paraId="2D980391">
      <w:pPr>
        <w:numPr>
          <w:ilvl w:val="0"/>
          <w:numId w:val="1"/>
        </w:numPr>
        <w:spacing w:before="120" w:line="312" w:lineRule="auto"/>
        <w:ind w:left="0" w:firstLine="360"/>
        <w:rPr>
          <w:color w:val="000000" w:themeColor="text1"/>
          <w:spacing w:val="-6"/>
          <w:sz w:val="26"/>
          <w:szCs w:val="26"/>
          <w:lang w:val="en-US"/>
          <w14:textFill>
            <w14:solidFill>
              <w14:schemeClr w14:val="tx1"/>
            </w14:solidFill>
          </w14:textFill>
        </w:rPr>
      </w:pPr>
      <w:r>
        <w:rPr>
          <w:color w:val="000000" w:themeColor="text1"/>
          <w:spacing w:val="-6"/>
          <w:sz w:val="26"/>
          <w:szCs w:val="26"/>
          <w:lang w:val="en-US"/>
          <w14:textFill>
            <w14:solidFill>
              <w14:schemeClr w14:val="tx1"/>
            </w14:solidFill>
          </w14:textFill>
        </w:rPr>
        <w:t xml:space="preserve">Vùng Đồng bằng sông Hồng đang nổi lên là trung tâm </w:t>
      </w:r>
      <w:r>
        <w:rPr>
          <w:color w:val="000000" w:themeColor="text1"/>
          <w:spacing w:val="-6"/>
          <w:sz w:val="26"/>
          <w:szCs w:val="26"/>
          <w:lang w:val="en-GB"/>
          <w14:textFill>
            <w14:solidFill>
              <w14:schemeClr w14:val="tx1"/>
            </w14:solidFill>
          </w14:textFill>
        </w:rPr>
        <w:t>ĐMST</w:t>
      </w:r>
      <w:r>
        <w:rPr>
          <w:color w:val="000000" w:themeColor="text1"/>
          <w:spacing w:val="-6"/>
          <w:sz w:val="26"/>
          <w:szCs w:val="26"/>
          <w:lang w:val="vi-VN"/>
          <w14:textFill>
            <w14:solidFill>
              <w14:schemeClr w14:val="tx1"/>
            </w14:solidFill>
          </w14:textFill>
        </w:rPr>
        <w:t xml:space="preserve"> </w:t>
      </w:r>
      <w:r>
        <w:rPr>
          <w:color w:val="000000" w:themeColor="text1"/>
          <w:spacing w:val="-6"/>
          <w:sz w:val="26"/>
          <w:szCs w:val="26"/>
          <w:lang w:val="en-US"/>
          <w14:textFill>
            <w14:solidFill>
              <w14:schemeClr w14:val="tx1"/>
            </w14:solidFill>
          </w14:textFill>
        </w:rPr>
        <w:t>mạnh nhất cả nước với hạt nhân là Hà Nội, Bắc Ninh, Hải Phòng và các địa phương công nghiệp công nghệ cao, gắn với điện tử, bán dẫn, logistics và hệ thống nghiên cứu – đào tạo quy mô lớn.</w:t>
      </w:r>
    </w:p>
    <w:p w14:paraId="3BCD8C7F">
      <w:pPr>
        <w:numPr>
          <w:ilvl w:val="0"/>
          <w:numId w:val="1"/>
        </w:numPr>
        <w:spacing w:before="120" w:line="312" w:lineRule="auto"/>
        <w:ind w:left="0" w:firstLine="360"/>
        <w:rPr>
          <w:color w:val="000000" w:themeColor="text1"/>
          <w:spacing w:val="-6"/>
          <w:sz w:val="26"/>
          <w:szCs w:val="26"/>
          <w:lang w:val="en-US"/>
          <w14:textFill>
            <w14:solidFill>
              <w14:schemeClr w14:val="tx1"/>
            </w14:solidFill>
          </w14:textFill>
        </w:rPr>
      </w:pPr>
      <w:r>
        <w:rPr>
          <w:color w:val="000000" w:themeColor="text1"/>
          <w:spacing w:val="-6"/>
          <w:sz w:val="26"/>
          <w:szCs w:val="26"/>
          <w:lang w:val="en-US"/>
          <w14:textFill>
            <w14:solidFill>
              <w14:schemeClr w14:val="tx1"/>
            </w14:solidFill>
          </w14:textFill>
        </w:rPr>
        <w:t>Vùng Đông Nam Bộ, với trung tâm là Thành phố Hồ Chí Minh, giữ vai trò dẫn dắt về khởi nghiệp sáng tạo, thương mại hóa công nghệ và thu hút vốn đầu tư mạo hiểm.</w:t>
      </w:r>
    </w:p>
    <w:p w14:paraId="5793AE2A">
      <w:pPr>
        <w:numPr>
          <w:ilvl w:val="0"/>
          <w:numId w:val="1"/>
        </w:numPr>
        <w:spacing w:before="120" w:line="312" w:lineRule="auto"/>
        <w:ind w:left="0" w:firstLine="360"/>
        <w:rPr>
          <w:color w:val="000000" w:themeColor="text1"/>
          <w:spacing w:val="-6"/>
          <w:sz w:val="26"/>
          <w:szCs w:val="26"/>
          <w:lang w:val="en-US"/>
          <w14:textFill>
            <w14:solidFill>
              <w14:schemeClr w14:val="tx1"/>
            </w14:solidFill>
          </w14:textFill>
        </w:rPr>
      </w:pPr>
      <w:r>
        <w:rPr>
          <w:color w:val="000000" w:themeColor="text1"/>
          <w:spacing w:val="-6"/>
          <w:sz w:val="26"/>
          <w:szCs w:val="26"/>
          <w:lang w:val="en-US"/>
          <w14:textFill>
            <w14:solidFill>
              <w14:schemeClr w14:val="tx1"/>
            </w14:solidFill>
          </w14:textFill>
        </w:rPr>
        <w:t xml:space="preserve">Vùng Duyên hải miền Trung đang hình thành các mô hình </w:t>
      </w:r>
      <w:r>
        <w:rPr>
          <w:color w:val="000000" w:themeColor="text1"/>
          <w:spacing w:val="-6"/>
          <w:sz w:val="26"/>
          <w:szCs w:val="26"/>
          <w:lang w:val="en-GB"/>
          <w14:textFill>
            <w14:solidFill>
              <w14:schemeClr w14:val="tx1"/>
            </w14:solidFill>
          </w14:textFill>
        </w:rPr>
        <w:t>ĐMST</w:t>
      </w:r>
      <w:r>
        <w:rPr>
          <w:color w:val="000000" w:themeColor="text1"/>
          <w:spacing w:val="-6"/>
          <w:sz w:val="26"/>
          <w:szCs w:val="26"/>
          <w:lang w:val="vi-VN"/>
          <w14:textFill>
            <w14:solidFill>
              <w14:schemeClr w14:val="tx1"/>
            </w14:solidFill>
          </w14:textFill>
        </w:rPr>
        <w:t xml:space="preserve"> </w:t>
      </w:r>
      <w:r>
        <w:rPr>
          <w:color w:val="000000" w:themeColor="text1"/>
          <w:spacing w:val="-6"/>
          <w:sz w:val="26"/>
          <w:szCs w:val="26"/>
          <w:lang w:val="en-US"/>
          <w14:textFill>
            <w14:solidFill>
              <w14:schemeClr w14:val="tx1"/>
            </w14:solidFill>
          </w14:textFill>
        </w:rPr>
        <w:t>gắn với đô thị thông minh, kinh tế số, du lịch thông minh và đổi mới sáng tạo dựa trên tài nguyên văn hóa.</w:t>
      </w:r>
    </w:p>
    <w:p w14:paraId="578D6CC7">
      <w:pPr>
        <w:numPr>
          <w:ilvl w:val="0"/>
          <w:numId w:val="1"/>
        </w:numPr>
        <w:spacing w:before="120" w:line="312" w:lineRule="auto"/>
        <w:ind w:left="0" w:firstLine="360"/>
        <w:rPr>
          <w:color w:val="000000" w:themeColor="text1"/>
          <w:spacing w:val="-6"/>
          <w:sz w:val="26"/>
          <w:szCs w:val="26"/>
          <w:lang w:val="en-US"/>
          <w14:textFill>
            <w14:solidFill>
              <w14:schemeClr w14:val="tx1"/>
            </w14:solidFill>
          </w14:textFill>
        </w:rPr>
      </w:pPr>
      <w:r>
        <w:rPr>
          <w:color w:val="000000" w:themeColor="text1"/>
          <w:spacing w:val="-6"/>
          <w:sz w:val="26"/>
          <w:szCs w:val="26"/>
          <w:lang w:val="en-US"/>
          <w14:textFill>
            <w14:solidFill>
              <w14:schemeClr w14:val="tx1"/>
            </w14:solidFill>
          </w14:textFill>
        </w:rPr>
        <w:t xml:space="preserve">Vùng Đồng bằng sông Cửu Long bước đầu phát triển hệ sinh thái </w:t>
      </w:r>
      <w:r>
        <w:rPr>
          <w:color w:val="000000" w:themeColor="text1"/>
          <w:spacing w:val="-6"/>
          <w:sz w:val="26"/>
          <w:szCs w:val="26"/>
          <w:lang w:val="en-GB"/>
          <w14:textFill>
            <w14:solidFill>
              <w14:schemeClr w14:val="tx1"/>
            </w14:solidFill>
          </w14:textFill>
        </w:rPr>
        <w:t>ĐMST</w:t>
      </w:r>
      <w:r>
        <w:rPr>
          <w:color w:val="000000" w:themeColor="text1"/>
          <w:spacing w:val="-6"/>
          <w:sz w:val="26"/>
          <w:szCs w:val="26"/>
          <w:lang w:val="vi-VN"/>
          <w14:textFill>
            <w14:solidFill>
              <w14:schemeClr w14:val="tx1"/>
            </w14:solidFill>
          </w14:textFill>
        </w:rPr>
        <w:t xml:space="preserve"> </w:t>
      </w:r>
      <w:r>
        <w:rPr>
          <w:color w:val="000000" w:themeColor="text1"/>
          <w:spacing w:val="-6"/>
          <w:sz w:val="26"/>
          <w:szCs w:val="26"/>
          <w:lang w:val="en-US"/>
          <w14:textFill>
            <w14:solidFill>
              <w14:schemeClr w14:val="tx1"/>
            </w14:solidFill>
          </w14:textFill>
        </w:rPr>
        <w:t>dựa trên nông nghiệp công nghệ cao, kinh tế xanh, kinh tế tuần hoàn và chuyển đổi xanh.</w:t>
      </w:r>
    </w:p>
    <w:p w14:paraId="6793013B">
      <w:pPr>
        <w:numPr>
          <w:ilvl w:val="0"/>
          <w:numId w:val="1"/>
        </w:numPr>
        <w:spacing w:before="120" w:line="312" w:lineRule="auto"/>
        <w:ind w:left="0" w:firstLine="360"/>
        <w:rPr>
          <w:color w:val="000000" w:themeColor="text1"/>
          <w:spacing w:val="-6"/>
          <w:sz w:val="26"/>
          <w:szCs w:val="26"/>
          <w:lang w:val="en-US"/>
          <w14:textFill>
            <w14:solidFill>
              <w14:schemeClr w14:val="tx1"/>
            </w14:solidFill>
          </w14:textFill>
        </w:rPr>
      </w:pPr>
      <w:r>
        <w:rPr>
          <w:color w:val="000000" w:themeColor="text1"/>
          <w:spacing w:val="-6"/>
          <w:sz w:val="26"/>
          <w:szCs w:val="26"/>
          <w:lang w:val="en-US"/>
          <w14:textFill>
            <w14:solidFill>
              <w14:schemeClr w14:val="tx1"/>
            </w14:solidFill>
          </w14:textFill>
        </w:rPr>
        <w:t xml:space="preserve">Khu vực miền núi và Tây Nguyên tuy còn nhiều hạn chế về hạ tầng và nguồn nhân lực nhưng đã xuất hiện các định hướng </w:t>
      </w:r>
      <w:r>
        <w:rPr>
          <w:color w:val="000000" w:themeColor="text1"/>
          <w:spacing w:val="-6"/>
          <w:sz w:val="26"/>
          <w:szCs w:val="26"/>
          <w:lang w:val="en-GB"/>
          <w14:textFill>
            <w14:solidFill>
              <w14:schemeClr w14:val="tx1"/>
            </w14:solidFill>
          </w14:textFill>
        </w:rPr>
        <w:t>ĐMST</w:t>
      </w:r>
      <w:r>
        <w:rPr>
          <w:color w:val="000000" w:themeColor="text1"/>
          <w:spacing w:val="-6"/>
          <w:sz w:val="26"/>
          <w:szCs w:val="26"/>
          <w:lang w:val="en-US"/>
          <w14:textFill>
            <w14:solidFill>
              <w14:schemeClr w14:val="tx1"/>
            </w14:solidFill>
          </w14:textFill>
        </w:rPr>
        <w:t xml:space="preserve"> đặc thù gắn với nông nghiệp công nghệ cao, du lịch sinh thái, kinh tế xanh và phát triển bền vững.</w:t>
      </w:r>
    </w:p>
    <w:p w14:paraId="0DA326B4">
      <w:pPr>
        <w:spacing w:before="120" w:line="312" w:lineRule="auto"/>
        <w:ind w:firstLine="720"/>
        <w:rPr>
          <w:color w:val="000000" w:themeColor="text1"/>
          <w:spacing w:val="-2"/>
          <w:sz w:val="26"/>
          <w:szCs w:val="26"/>
          <w:lang w:val="en-US"/>
          <w14:textFill>
            <w14:solidFill>
              <w14:schemeClr w14:val="tx1"/>
            </w14:solidFill>
          </w14:textFill>
        </w:rPr>
      </w:pPr>
      <w:r>
        <w:rPr>
          <w:color w:val="000000" w:themeColor="text1"/>
          <w:spacing w:val="-2"/>
          <w:sz w:val="26"/>
          <w:szCs w:val="26"/>
          <w14:textFill>
            <w14:solidFill>
              <w14:schemeClr w14:val="tx1"/>
            </w14:solidFill>
          </w14:textFill>
        </w:rPr>
        <w:t xml:space="preserve">Mặc dù đạt được nhiều kết quả tích cực, hệ sinh thái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vi-VN"/>
          <w14:textFill>
            <w14:solidFill>
              <w14:schemeClr w14:val="tx1"/>
            </w14:solidFill>
          </w14:textFill>
        </w:rPr>
        <w:t xml:space="preserve"> </w:t>
      </w:r>
      <w:r>
        <w:rPr>
          <w:color w:val="000000" w:themeColor="text1"/>
          <w:spacing w:val="-2"/>
          <w:sz w:val="26"/>
          <w:szCs w:val="26"/>
          <w14:textFill>
            <w14:solidFill>
              <w14:schemeClr w14:val="tx1"/>
            </w14:solidFill>
          </w14:textFill>
        </w:rPr>
        <w:t xml:space="preserve">của Việt Nam vẫn đang đối mặt với không ít thách thức. Trước hết, nguồn vốn cho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vi-VN"/>
          <w14:textFill>
            <w14:solidFill>
              <w14:schemeClr w14:val="tx1"/>
            </w14:solidFill>
          </w14:textFill>
        </w:rPr>
        <w:t xml:space="preserve"> </w:t>
      </w:r>
      <w:r>
        <w:rPr>
          <w:color w:val="000000" w:themeColor="text1"/>
          <w:spacing w:val="-2"/>
          <w:sz w:val="26"/>
          <w:szCs w:val="26"/>
          <w14:textFill>
            <w14:solidFill>
              <w14:schemeClr w14:val="tx1"/>
            </w14:solidFill>
          </w14:textFill>
        </w:rPr>
        <w:t xml:space="preserve">và khởi nghiệp sáng tạo vẫn còn hạn chế, đặc biệt là vốn đầu tư mạo hiểm trong nước. Tổng giá trị đầu tư vào các startup Việt Nam đã giảm mạnh từ mức đỉnh khoảng 1,4 tỷ USD năm 2021 xuống còn 529 triệu USD năm 2023; mặc dù thị trường đã có dấu hiệu phục hồi trong giai đoạn 2024–2025 nhưng quy mô và năng lực của các quỹ đầu tư mạo hiểm nội địa vẫn còn khiêm tốn so với nhu cầu phát triển của hệ sinh thái. Bên cạnh đó, sự phát triển hệ sinh thái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vi-VN"/>
          <w14:textFill>
            <w14:solidFill>
              <w14:schemeClr w14:val="tx1"/>
            </w14:solidFill>
          </w14:textFill>
        </w:rPr>
        <w:t xml:space="preserve"> </w:t>
      </w:r>
      <w:r>
        <w:rPr>
          <w:color w:val="000000" w:themeColor="text1"/>
          <w:spacing w:val="-2"/>
          <w:sz w:val="26"/>
          <w:szCs w:val="26"/>
          <w14:textFill>
            <w14:solidFill>
              <w14:schemeClr w14:val="tx1"/>
            </w14:solidFill>
          </w14:textFill>
        </w:rPr>
        <w:t xml:space="preserve">giữa các địa phương còn chưa đồng đều, trong đó Thành phố Hồ </w:t>
      </w:r>
      <w:r>
        <w:rPr>
          <w:color w:val="000000" w:themeColor="text1"/>
          <w:spacing w:val="-4"/>
          <w:sz w:val="26"/>
          <w:szCs w:val="26"/>
          <w14:textFill>
            <w14:solidFill>
              <w14:schemeClr w14:val="tx1"/>
            </w14:solidFill>
          </w14:textFill>
        </w:rPr>
        <w:t xml:space="preserve">Chí Minh hiện vẫn tập trung khoảng 50% tổng số startup của cả nước, phản ánh khoảng cách đáng kể về năng lực </w:t>
      </w:r>
      <w:r>
        <w:rPr>
          <w:color w:val="000000" w:themeColor="text1"/>
          <w:spacing w:val="-4"/>
          <w:sz w:val="26"/>
          <w:szCs w:val="26"/>
          <w:lang w:val="en-GB"/>
          <w14:textFill>
            <w14:solidFill>
              <w14:schemeClr w14:val="tx1"/>
            </w14:solidFill>
          </w14:textFill>
        </w:rPr>
        <w:t>ĐMST</w:t>
      </w:r>
      <w:r>
        <w:rPr>
          <w:color w:val="000000" w:themeColor="text1"/>
          <w:spacing w:val="-4"/>
          <w:sz w:val="26"/>
          <w:szCs w:val="26"/>
          <w:lang w:val="vi-VN"/>
          <w14:textFill>
            <w14:solidFill>
              <w14:schemeClr w14:val="tx1"/>
            </w14:solidFill>
          </w14:textFill>
        </w:rPr>
        <w:t xml:space="preserve"> </w:t>
      </w:r>
      <w:r>
        <w:rPr>
          <w:color w:val="000000" w:themeColor="text1"/>
          <w:spacing w:val="-4"/>
          <w:sz w:val="26"/>
          <w:szCs w:val="26"/>
          <w14:textFill>
            <w14:solidFill>
              <w14:schemeClr w14:val="tx1"/>
            </w14:solidFill>
          </w14:textFill>
        </w:rPr>
        <w:t xml:space="preserve">giữa các trung tâm lớn với các địa phương khác. Đây là thách thức đòi hỏi các chính sách phát triển hạ tầng </w:t>
      </w:r>
      <w:r>
        <w:rPr>
          <w:color w:val="000000" w:themeColor="text1"/>
          <w:spacing w:val="-4"/>
          <w:sz w:val="26"/>
          <w:szCs w:val="26"/>
          <w:lang w:val="en-GB"/>
          <w14:textFill>
            <w14:solidFill>
              <w14:schemeClr w14:val="tx1"/>
            </w14:solidFill>
          </w14:textFill>
        </w:rPr>
        <w:t>ĐMST</w:t>
      </w:r>
      <w:r>
        <w:rPr>
          <w:color w:val="000000" w:themeColor="text1"/>
          <w:spacing w:val="-4"/>
          <w:sz w:val="26"/>
          <w:szCs w:val="26"/>
          <w:lang w:val="vi-VN"/>
          <w14:textFill>
            <w14:solidFill>
              <w14:schemeClr w14:val="tx1"/>
            </w14:solidFill>
          </w14:textFill>
        </w:rPr>
        <w:t xml:space="preserve"> </w:t>
      </w:r>
      <w:r>
        <w:rPr>
          <w:color w:val="000000" w:themeColor="text1"/>
          <w:spacing w:val="-4"/>
          <w:sz w:val="26"/>
          <w:szCs w:val="26"/>
          <w14:textFill>
            <w14:solidFill>
              <w14:schemeClr w14:val="tx1"/>
            </w14:solidFill>
          </w14:textFill>
        </w:rPr>
        <w:t>và hỗ trợ hệ sinh thái ở cấp địa phương phải được triển khai mạnh mẽ hơn trong thời gian tới. Ngoài ra, khung pháp lý đối với các mô hình kinh doanh và công nghệ mới vẫn đang trong quá trình hoàn thiện, trong khi tốc độ đổi mới của các lĩnh vực như fintech</w:t>
      </w:r>
      <w:r>
        <w:rPr>
          <w:color w:val="000000" w:themeColor="text1"/>
          <w:spacing w:val="-4"/>
          <w:sz w:val="26"/>
          <w:szCs w:val="26"/>
          <w:lang w:val="vi-VN"/>
          <w14:textFill>
            <w14:solidFill>
              <w14:schemeClr w14:val="tx1"/>
            </w14:solidFill>
          </w14:textFill>
        </w:rPr>
        <w:t xml:space="preserve"> (công nghệ tài chính)</w:t>
      </w:r>
      <w:r>
        <w:rPr>
          <w:color w:val="000000" w:themeColor="text1"/>
          <w:spacing w:val="-4"/>
          <w:sz w:val="26"/>
          <w:szCs w:val="26"/>
          <w14:textFill>
            <w14:solidFill>
              <w14:schemeClr w14:val="tx1"/>
            </w14:solidFill>
          </w14:textFill>
        </w:rPr>
        <w:t>, edtech</w:t>
      </w:r>
      <w:r>
        <w:rPr>
          <w:color w:val="000000" w:themeColor="text1"/>
          <w:spacing w:val="-4"/>
          <w:sz w:val="26"/>
          <w:szCs w:val="26"/>
          <w:lang w:val="vi-VN"/>
          <w14:textFill>
            <w14:solidFill>
              <w14:schemeClr w14:val="tx1"/>
            </w14:solidFill>
          </w14:textFill>
        </w:rPr>
        <w:t xml:space="preserve"> (công nghệ giáo dục)</w:t>
      </w:r>
      <w:r>
        <w:rPr>
          <w:color w:val="000000" w:themeColor="text1"/>
          <w:spacing w:val="-4"/>
          <w:sz w:val="26"/>
          <w:szCs w:val="26"/>
          <w14:textFill>
            <w14:solidFill>
              <w14:schemeClr w14:val="tx1"/>
            </w14:solidFill>
          </w14:textFill>
        </w:rPr>
        <w:t>, healthtech</w:t>
      </w:r>
      <w:r>
        <w:rPr>
          <w:color w:val="000000" w:themeColor="text1"/>
          <w:spacing w:val="-4"/>
          <w:sz w:val="26"/>
          <w:szCs w:val="26"/>
          <w:lang w:val="vi-VN"/>
          <w14:textFill>
            <w14:solidFill>
              <w14:schemeClr w14:val="tx1"/>
            </w14:solidFill>
          </w14:textFill>
        </w:rPr>
        <w:t xml:space="preserve"> (công nghệ y tế)</w:t>
      </w:r>
      <w:r>
        <w:rPr>
          <w:color w:val="000000" w:themeColor="text1"/>
          <w:spacing w:val="-4"/>
          <w:sz w:val="26"/>
          <w:szCs w:val="26"/>
          <w14:textFill>
            <w14:solidFill>
              <w14:schemeClr w14:val="tx1"/>
            </w14:solidFill>
          </w14:textFill>
        </w:rPr>
        <w:t xml:space="preserve"> và các cơ</w:t>
      </w:r>
      <w:r>
        <w:rPr>
          <w:color w:val="000000" w:themeColor="text1"/>
          <w:spacing w:val="-4"/>
          <w:sz w:val="26"/>
          <w:szCs w:val="26"/>
          <w:lang w:val="vi-VN"/>
          <w14:textFill>
            <w14:solidFill>
              <w14:schemeClr w14:val="tx1"/>
            </w14:solidFill>
          </w14:textFill>
        </w:rPr>
        <w:t xml:space="preserve"> chế </w:t>
      </w:r>
      <w:r>
        <w:rPr>
          <w:color w:val="000000" w:themeColor="text1"/>
          <w:spacing w:val="-4"/>
          <w:sz w:val="26"/>
          <w:szCs w:val="26"/>
          <w14:textFill>
            <w14:solidFill>
              <w14:schemeClr w14:val="tx1"/>
            </w14:solidFill>
          </w14:textFill>
        </w:rPr>
        <w:t>sandbox</w:t>
      </w:r>
      <w:r>
        <w:rPr>
          <w:color w:val="000000" w:themeColor="text1"/>
          <w:spacing w:val="-4"/>
          <w:sz w:val="26"/>
          <w:szCs w:val="26"/>
          <w:lang w:val="vi-VN"/>
          <w14:textFill>
            <w14:solidFill>
              <w14:schemeClr w14:val="tx1"/>
            </w14:solidFill>
          </w14:textFill>
        </w:rPr>
        <w:t xml:space="preserve"> </w:t>
      </w:r>
      <w:r>
        <w:rPr>
          <w:color w:val="000000" w:themeColor="text1"/>
          <w:spacing w:val="-4"/>
          <w:sz w:val="26"/>
          <w:szCs w:val="26"/>
          <w14:textFill>
            <w14:solidFill>
              <w14:schemeClr w14:val="tx1"/>
            </w14:solidFill>
          </w14:textFill>
        </w:rPr>
        <w:t>diễn ra rất nhanh, tạo ra khoảng cách nhất định giữa yêu cầu thực tiễn và năng lực quản lý nhà nước. Một thách thức quan trọng khác là tình trạng thiếu hụt nguồn nhân lực công nghệ chất lượng cao, đặc biệt trong các lĩnh vực chiến lược như trí tuệ nhân tạo (AI), công nghệ bán dẫn, khoa học dữ liệu và các chuyên gia công nghệ có kinh nghiệm quốc tế. Đây được xem là một trong những rào cản lớn đối với mục tiêu nâng cao năng lực công nghệ quốc gia và phát triển các ngành công nghệ chiến lược của Việt Nam trong giai đoạn tới.</w:t>
      </w:r>
    </w:p>
    <w:p w14:paraId="47107AF1">
      <w:pPr>
        <w:spacing w:before="120" w:line="312" w:lineRule="auto"/>
        <w:ind w:firstLine="720"/>
        <w:rPr>
          <w:color w:val="000000" w:themeColor="text1"/>
          <w:spacing w:val="-2"/>
          <w:sz w:val="26"/>
          <w:szCs w:val="26"/>
          <w:lang w:val="en-US"/>
          <w14:textFill>
            <w14:solidFill>
              <w14:schemeClr w14:val="tx1"/>
            </w14:solidFill>
          </w14:textFill>
        </w:rPr>
      </w:pPr>
      <w:r>
        <w:rPr>
          <w:color w:val="000000" w:themeColor="text1"/>
          <w:spacing w:val="-2"/>
          <w:sz w:val="26"/>
          <w:szCs w:val="26"/>
          <w:lang w:val="en-US"/>
          <w14:textFill>
            <w14:solidFill>
              <w14:schemeClr w14:val="tx1"/>
            </w14:solidFill>
          </w14:textFill>
        </w:rPr>
        <w:t xml:space="preserve">Mặc dù vậy, với sự hoàn thiện của khung chính sách quốc gia về khoa học, công nghệ và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en-US"/>
          <w14:textFill>
            <w14:solidFill>
              <w14:schemeClr w14:val="tx1"/>
            </w14:solidFill>
          </w14:textFill>
        </w:rPr>
        <w:t xml:space="preserve">, cùng xu hướng dịch chuyển chuỗi cung ứng và đầu tư công nghệ cao trên thế giới, Việt Nam đang đứng trước cơ hội thuận lợi để hình thành các trung tâm </w:t>
      </w:r>
      <w:r>
        <w:rPr>
          <w:color w:val="000000" w:themeColor="text1"/>
          <w:spacing w:val="-2"/>
          <w:sz w:val="26"/>
          <w:szCs w:val="26"/>
          <w:lang w:val="en-GB"/>
          <w14:textFill>
            <w14:solidFill>
              <w14:schemeClr w14:val="tx1"/>
            </w14:solidFill>
          </w14:textFill>
        </w:rPr>
        <w:t>ĐMST</w:t>
      </w:r>
      <w:r>
        <w:rPr>
          <w:color w:val="000000" w:themeColor="text1"/>
          <w:spacing w:val="-2"/>
          <w:sz w:val="26"/>
          <w:szCs w:val="26"/>
          <w:lang w:val="vi-VN"/>
          <w14:textFill>
            <w14:solidFill>
              <w14:schemeClr w14:val="tx1"/>
            </w14:solidFill>
          </w14:textFill>
        </w:rPr>
        <w:t xml:space="preserve"> </w:t>
      </w:r>
      <w:r>
        <w:rPr>
          <w:color w:val="000000" w:themeColor="text1"/>
          <w:spacing w:val="-2"/>
          <w:sz w:val="26"/>
          <w:szCs w:val="26"/>
          <w:lang w:val="en-US"/>
          <w14:textFill>
            <w14:solidFill>
              <w14:schemeClr w14:val="tx1"/>
            </w14:solidFill>
          </w14:textFill>
        </w:rPr>
        <w:t>cấp vùng, thúc đẩy liên kết giữa doanh nghiệp, viện nghiên cứu, trường đại học và chính quyền địa phương, qua đó nâng cao năng lực cạnh tranh và tạo ra các động lực tăng trưởng mới cho nền kinh tế trong giai đoạn tới.</w:t>
      </w:r>
    </w:p>
    <w:p w14:paraId="5E494830">
      <w:pPr>
        <w:pStyle w:val="3"/>
        <w:rPr>
          <w:b/>
          <w:bCs/>
          <w:color w:val="000000" w:themeColor="text1"/>
          <w:spacing w:val="-16"/>
          <w14:textFill>
            <w14:solidFill>
              <w14:schemeClr w14:val="tx1"/>
            </w14:solidFill>
          </w14:textFill>
        </w:rPr>
      </w:pPr>
      <w:bookmarkStart w:id="19" w:name="_Toc233183608"/>
      <w:r>
        <w:rPr>
          <w:b/>
          <w:bCs/>
          <w:color w:val="000000" w:themeColor="text1"/>
          <w:spacing w:val="-16"/>
          <w14:textFill>
            <w14:solidFill>
              <w14:schemeClr w14:val="tx1"/>
            </w14:solidFill>
          </w14:textFill>
        </w:rPr>
        <w:t xml:space="preserve">II. KINH NGHIỆM PHÁT TRIỂN HỆ SINH THÁI </w:t>
      </w:r>
      <w:r>
        <w:rPr>
          <w:b/>
          <w:bCs/>
          <w:color w:val="000000" w:themeColor="text1"/>
          <w:spacing w:val="-16"/>
          <w:lang w:val="en-GB"/>
          <w14:textFill>
            <w14:solidFill>
              <w14:schemeClr w14:val="tx1"/>
            </w14:solidFill>
          </w14:textFill>
        </w:rPr>
        <w:t>ĐMST</w:t>
      </w:r>
      <w:r>
        <w:rPr>
          <w:b/>
          <w:bCs/>
          <w:color w:val="000000" w:themeColor="text1"/>
          <w:spacing w:val="-16"/>
          <w14:textFill>
            <w14:solidFill>
              <w14:schemeClr w14:val="tx1"/>
            </w14:solidFill>
          </w14:textFill>
        </w:rPr>
        <w:t xml:space="preserve"> TẠI CÁC ĐỊA PHƯƠNG</w:t>
      </w:r>
      <w:bookmarkEnd w:id="19"/>
    </w:p>
    <w:p w14:paraId="3C635512">
      <w:pPr>
        <w:pStyle w:val="4"/>
        <w:rPr>
          <w:color w:val="000000" w:themeColor="text1"/>
          <w14:textFill>
            <w14:solidFill>
              <w14:schemeClr w14:val="tx1"/>
            </w14:solidFill>
          </w14:textFill>
        </w:rPr>
      </w:pPr>
      <w:bookmarkStart w:id="20" w:name="_Toc233183609"/>
      <w:r>
        <w:rPr>
          <w:color w:val="000000" w:themeColor="text1"/>
          <w14:textFill>
            <w14:solidFill>
              <w14:schemeClr w14:val="tx1"/>
            </w14:solidFill>
          </w14:textFill>
        </w:rPr>
        <w:t>2.1. Kinh nghiệm phát triển hệ sinh thái ĐMST tại các địa phương</w:t>
      </w:r>
      <w:bookmarkEnd w:id="20"/>
    </w:p>
    <w:p w14:paraId="49C36223">
      <w:p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a) Thành phố Hà Nội</w:t>
      </w:r>
    </w:p>
    <w:p w14:paraId="6798C74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Thành phố Hà Nội định hướng phát triển hệ sinh thái ĐMST theo hướng đồng bộ, gồm các cấu phần về thể chế, hạ tầng khoa học công nghệ, cơ chế tài chính, tổ chức trung gian và mạng lưới liên kết tri thức. Thành phố ưu tiên đầu tư các cấu phần hạ tầng như Trung tâm ĐMST thành phố Hà Nội, trung tâm nghiên cứu và phát triển (R&amp;D), vườn ươm công nghệ, phòng thí nghiệm trọng điểm, sàn giao dịch công nghệ, trung tâm dữ liệu và không gian sáng tạo.</w:t>
      </w:r>
    </w:p>
    <w:p w14:paraId="6B22FF6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Điểm nổi bật trong mô hình của Hà Nội là việc thành lập Trung tâm ĐMST thành phố Hà Nội theo mô hình công ty cổ phần có sự tham gia của Nhà nước, đại học và doanh nghiệp công nghệ. Trung tâm có vốn điều lệ 100 tỷ đồng, trong đó UBND thành phố Hà Nội nắm giữ 70% vốn điều lệ, Đại học Bách khoa Hà Nội góp 15% và Tập đoàn Công nghệ CMC góp 15%. Mô hình này thể hiện định hướng kết hợp giữa vai trò dẫn dắt của Nhà nước, năng lực nghiên cứu – đào tạo của đại học và năng lực công nghệ, thị trường của doanh nghiệp trong phát triển hệ sinh thái ĐMST.</w:t>
      </w:r>
    </w:p>
    <w:p w14:paraId="38AE281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Bên cạnh đầu tư hạ tầng, Hà Nội cũng xây dựng hệ thống chính sách hỗ trợ tương đối toàn diện cho hoạt động ĐMST và KNST. Thành phố hỗ trợ tối đa 70% chi phí vận hành hạ tầng ĐMST trong 03 năm đầu; hỗ trợ chi phí thuê chuyên gia, kiểm định trang thiết bị, tổ chức chương trình nâng cao năng lực, kết nối hệ sinh thái và tuyển chọn dự án KNST.</w:t>
      </w:r>
    </w:p>
    <w:p w14:paraId="0C44708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Đối với các doanh nghiệp khởi nghiệp sáng tạo (startup), Thành phố áp dụng cơ chế hỗ trợ theo từng giai đoạn phát triển dự án. Dự án ở giai đoạn tiền ươm tạo được hỗ trợ tối đa 100% chi phí; giai đoạn ươm tạo được hỗ trợ tối đa 75%; và giai đoạn tăng tốc được hỗ trợ tối đa 50% chi phí. Ngoài hỗ trợ tài chính, các startup còn được hỗ trợ pháp lý, xúc tiến đầu tư, kết nối thị trường, sử dụng hạ tầng nghiên cứu và tiếp cận mạng lưới chuyên gia, quỹ đầu tư và tổ chức trung gian. Một điểm đáng chú ý khác là Hà Nội đặc biệt nhấn mạnh cơ chế tái đầu tư và lan tỏa trong hệ sinh thái ĐMST. Thành phố khuyến khích các doanh nghiệp trưởng thành từ hệ sinh thái tiếp tục đầu tư vào startup, tham gia xây dựng phòng thí nghiệm mở, trung tâm R&amp;D dùng chung, nền tảng dữ liệu và các chương trình đào tạo, tăng tốc KNST. </w:t>
      </w:r>
    </w:p>
    <w:p w14:paraId="389E3FD7">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Định hướng phát triển của Hà Nội cho thấy Thành phố đang xây dựng hệ sinh thái ĐMST theo hướng tích hợp giữa nghiên cứu, công nghệ, dữ liệu, tài chính và thị trường; đồng thời hình thành các thiết chế trung tâm có khả năng điều phối nguồn lực và kết nối các chủ thể trong hệ sinh thái. Đây là nền tảng quan trọng để Hà Nội phát triển vai trò trung tâm ĐMST, nghiên cứu và chuyển giao công nghệ của cả nước trong giai đoạn tới.</w:t>
      </w:r>
    </w:p>
    <w:p w14:paraId="2A03EF8D">
      <w:p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 Thành phố Hồ Chí Minh</w:t>
      </w:r>
    </w:p>
    <w:p w14:paraId="7409C2E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Thành phố Hồ Chí Minh là địa phương đi đầu cả nước trong việc chuyển từ tư duy hỗ trợ khởi nghiệp đơn lẻ sang phát triển hệ sinh thái ĐMST toàn diện. Thành phố định vị hệ sinh thái ĐMST không chỉ phục vụ mục tiêu phát triển startup mà còn là nền tảng thúc đẩy chuyển đổi mô hình tăng trưởng, nâng cao năng suất và năng lực cạnh tranh của toàn bộ nền kinh tế đô thị.</w:t>
      </w:r>
    </w:p>
    <w:p w14:paraId="3586C0C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Theo định hướng phát triển hệ sinh thái ĐMST và KNST đến năm 2030, Thành phố Hồ Chí Minh đặt mục tiêu trở thành trung tâm ĐMST của khu vực ASEAN và nằm trong nhóm 100 hệ sinh thái KNST năng động nhất thế giới. Hệ sinh thái của Thành phố được phát triển theo mô hình đa trung tâm, lấy doanh nghiệp làm trung tâm; viện nghiên cứu, trường đại học là nguồn cung tri thức và công nghệ; Nhà nước giữ vai trò kiến tạo thể chế, điều phối và hỗ trợ môi trường phát triển. </w:t>
      </w:r>
    </w:p>
    <w:p w14:paraId="0D9D85C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Một số mục tiêu trọng tâm của Thành phố gồm: </w:t>
      </w:r>
    </w:p>
    <w:p w14:paraId="6F22F392">
      <w:pPr>
        <w:numPr>
          <w:ilvl w:val="0"/>
          <w:numId w:val="2"/>
        </w:numPr>
        <w:tabs>
          <w:tab w:val="left" w:pos="1080"/>
        </w:tabs>
        <w:spacing w:before="120" w:line="312" w:lineRule="auto"/>
        <w:ind w:left="0" w:firstLine="36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 xml:space="preserve">Đưa hệ sinh thái khởi nghiệp sáng tạo của Thành phố vào Top 100 thành phố trong Bảng xếp hạng hệ sinh thái KNST toàn cầu; </w:t>
      </w:r>
    </w:p>
    <w:p w14:paraId="2AE709AC">
      <w:pPr>
        <w:numPr>
          <w:ilvl w:val="0"/>
          <w:numId w:val="2"/>
        </w:numPr>
        <w:tabs>
          <w:tab w:val="left" w:pos="1080"/>
        </w:tabs>
        <w:spacing w:before="120" w:line="312" w:lineRule="auto"/>
        <w:ind w:left="0" w:firstLine="36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 xml:space="preserve">Hình thành tối thiểu 01 trung tâm ĐMST, khởi nghiệp sáng tạo tầm cỡ quốc tế và ít nhất 02 khu đô thị sáng tạo, tương tác cao. </w:t>
      </w:r>
    </w:p>
    <w:p w14:paraId="7C6AD908">
      <w:pPr>
        <w:numPr>
          <w:ilvl w:val="0"/>
          <w:numId w:val="2"/>
        </w:numPr>
        <w:tabs>
          <w:tab w:val="left" w:pos="1080"/>
        </w:tabs>
        <w:spacing w:before="120" w:line="312" w:lineRule="auto"/>
        <w:ind w:left="0" w:firstLine="36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Hỗ trợ tối thiểu 300 dự án giai đoạn tiền ươm tạo, 200 dự án giai đoạn ươm tạo và 50 dự án giai đoạn tăng tốc hàng năm.</w:t>
      </w:r>
    </w:p>
    <w:p w14:paraId="2A150809">
      <w:pPr>
        <w:numPr>
          <w:ilvl w:val="0"/>
          <w:numId w:val="2"/>
        </w:numPr>
        <w:tabs>
          <w:tab w:val="left" w:pos="1080"/>
        </w:tabs>
        <w:spacing w:before="120" w:line="312" w:lineRule="auto"/>
        <w:ind w:left="0" w:firstLine="36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Hình thành khoảng 5.000 doanh nghiệp khởi nghiệp sáng tạo trong giai đoạn phát triển 2026 -2030.</w:t>
      </w:r>
    </w:p>
    <w:p w14:paraId="03E20BFA">
      <w:pPr>
        <w:spacing w:before="120" w:line="312" w:lineRule="auto"/>
        <w:ind w:firstLine="720"/>
        <w:rPr>
          <w:color w:val="000000" w:themeColor="text1"/>
          <w:spacing w:val="-10"/>
          <w:sz w:val="26"/>
          <w:szCs w:val="26"/>
          <w:lang w:val="vi-VN"/>
          <w14:textFill>
            <w14:solidFill>
              <w14:schemeClr w14:val="tx1"/>
            </w14:solidFill>
          </w14:textFill>
        </w:rPr>
      </w:pPr>
      <w:r>
        <w:rPr>
          <w:color w:val="000000" w:themeColor="text1"/>
          <w:spacing w:val="-10"/>
          <w:sz w:val="26"/>
          <w:szCs w:val="26"/>
          <w:lang w:val="vi-VN"/>
          <w14:textFill>
            <w14:solidFill>
              <w14:schemeClr w14:val="tx1"/>
            </w14:solidFill>
          </w14:textFill>
        </w:rPr>
        <w:t>Thực tiễn của Thành phố Hồ Chí Minh cho thấy hệ sinh thái ĐMST cấp vùng chỉ có thể phát triển mạnh khi được gắn chặt với chiến lược phát triển kinh tế - xã hội, cấu trúc ngành ưu tiên, hạ tầng số, mạng lưới viện trường – doanh nghiệp và cơ chế điều phối liên vùng. Đây là mô hình tiêu biểu về hệ sinh thái ĐMST đô thị quy mô lớn, có tính hội nhập quốc tế cao và đóng vai trò hạt nhân lan tỏa ĐMST cho toàn vùng kinh tế trọng điểm phía Nam.</w:t>
      </w:r>
    </w:p>
    <w:p w14:paraId="11F22CF8">
      <w:p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c) Tỉnh Bắc Ninh</w:t>
      </w:r>
    </w:p>
    <w:p w14:paraId="12B3F3F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Bắc Ninh định hướng phát triển hệ sinh thái ĐMST gắn với mục tiêu chuyển dịch nền kinh tế theo hướng dựa trên KHCN, ĐMST và công nghiệp công nghệ cao. Theo Kế hoạch hỗ trợ hệ sinh thái khởi nghiệp ĐMST tỉnh Bắc Ninh giai đoạn 2025–2030, định hướng đến năm 2045, tỉnh xác định phát triển hệ sinh thái ĐMST không chỉ nhằm thúc đẩy KNST mà còn nâng cao năng suất, chất lượng, năng lực cạnh tranh và tính tự chủ của nền kinh tế địa phương. </w:t>
      </w:r>
    </w:p>
    <w:p w14:paraId="1CA25A3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Chiến lược của Bắc Ninh tập trung xây dựng hệ sinh thái theo hướng đồng bộ giữa thể chế, hạ tầng, nguồn nhân lực, tổ chức trung gian và mạng lưới liên kết ĐMST. Tỉnh định hướng hình thành Trung tâm ĐMST Bắc Ninh (BNIC), thành lập Quỹ đầu tư mạo hiểm hỗ trợ khởi nghiệp ĐMST; phát triển mạng lưới vườn ươm, trung tâm ĐMST và các không gian sáng tạo mở gắn với doanh nghiệp, trường đại học, cơ sở đào tạo kỹ thuật và khu công nghiệp. Đồng thời, Bắc Ninh chú trọng thúc đẩy liên kết giữa doanh nghiệp FDI, doanh nghiệp trong nước, viện nghiên cứu và cơ sở đào tạo nhằm nâng cao năng lực công nghệ và tham gia sâu hơn vào chuỗi giá trị công nghiệp. </w:t>
      </w:r>
    </w:p>
    <w:p w14:paraId="1B6AC406">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 xml:space="preserve">Theo định hướng phát triển giai đoạn 2025–2030, Bắc Ninh đặt mục tiêu phát triển tối thiểu 150 doanh nghiệp khởi nghiệp sáng tạo và 07 vườn ươm/trung tâm ĐMST. Tỉnh phấn đấu có từ 40% doanh nghiệp có hoạt động ĐMST; 30% doanh nghiệp có hoạt động đổi mới quy trình hoặc mô hình kinh doanh; 25% doanh nghiệp vừa và nhỏ có hợp tác nghiên cứu phát triển với viện, trường. Đồng thời, tỉnh đặt mục tiêu thương mại hóa tối thiểu 60 sản phẩm thuộc dự án khởi nghiệp ĐMST; hỗ trợ 30 dự án ĐMST từ ngân sách tỉnh; có tối thiểu 20 sáng chế, giải pháp hữu ích mang địa chỉ Bắc Ninh và khoảng 300 bài báo khoa học ứng dụng liên quan ĐMST. Bắc Ninh cũng định hướng nâng số lượng đơn đăng ký sáng chế, văn bằng bảo hộ sáng chế tăng trung bình 16%/năm, trong đó tỷ lệ khai thác thương mại đạt khoảng 8%. </w:t>
      </w:r>
    </w:p>
    <w:p w14:paraId="69EED2D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Bên cạnh phát triển hạ tầng và doanh nghiệp, Bắc Ninh đặc biệt chú trọng phát triển nguồn nhân lực ĐMST thông qua các chương trình đào tạo khởi nghiệp, huấn luyện nhà sáng lập, xây dựng mạng lưới cố vấn và thúc đẩy giáo dục ĐMST trong trường học. Tỉnh đồng thời xác định tăng cường hợp tác quốc tế, kết nối với các trung tâm ĐMST trong và ngoài nước nhằm mở rộng mạng lưới chuyên gia, nhà đầu tư và hỗ trợ doanh nghiệp tiếp cận công nghệ, thị trường quốc tế. </w:t>
      </w:r>
    </w:p>
    <w:p w14:paraId="0A1ACEC9">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Đáng chú ý, Bắc Ninh được Bộ Khoa học &amp; Công nghệ lựa chọn là địa phương thí điểm xây dựng và vận hành trung tâm ĐMST cấp tỉnh. Theo Báo cáo đề xuất mô hình BNIC, tỉnh Bắc Ninh sẽ xây dựng mô hình phù hợp với đặc thù phát triển công nghiệp của địa phương; trong đó BNIC không chỉ hỗ trợ startup mà còn đóng vai trò kết nối doanh nghiệp sản xuất, hoạt động R&amp;D, chuyển giao công nghệ, dữ liệu ĐMST và các chương trình thúc đẩy phát triển, ứng dụng công nghệ cho doanh nghiệp công nghiệp.</w:t>
      </w:r>
    </w:p>
    <w:p w14:paraId="417B983C">
      <w:p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d) Tỉnh Đồng Nai</w:t>
      </w:r>
    </w:p>
    <w:p w14:paraId="3D8C1DDF">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 xml:space="preserve">Đồng Nai định hướng phát triển hệ sinh thái ĐMST gắn với mục tiêu trở thành trung tâm ĐMST, công nghiệp công nghệ cao và chuyển đổi số của vùng Đông Nam Bộ. Theo Kế hoạch phát triển hệ thống ĐMST và hệ sinh thái khởi nghiệp sáng tạo tỉnh Đồng Nai giai đoạn 2026–2030, tỉnh xác định phát triển ĐMST và khởi nghiệp sáng tạo là động lực chủ đạo cho tăng trưởng và chuyển đổi mô hình phát triển kinh tế – xã hội trong giai đoạn mới. </w:t>
      </w:r>
    </w:p>
    <w:p w14:paraId="4362D951">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 xml:space="preserve">Chiến lược của Đồng Nai tập trung xây dựng hệ sinh thái theo hướng đồng bộ giữa thể chế, hạ tầng, nguồn nhân lực, dữ liệu, tổ chức trung gian và mạng lưới liên kết ĐMST. Tỉnh định hướng hình thành Trung tâm ĐMST và Chuyển đổi số tỉnh Đồng Nai; phát triển Khu ĐMST gắn với đô thị sân bay Long Thành; đồng thời xây dựng Khu Khoa học, công nghệ và ĐMST tại phường Đồng Xoài. Trong mô hình này, trường đại học giữ vai trò nghiên cứu, doanh nghiệp giữ vai trò thử nghiệm - thương mại hóa, còn Nhà nước đóng vai trò hỗ trợ thể chế và đầu tư hạ tầng. </w:t>
      </w:r>
    </w:p>
    <w:p w14:paraId="4237C215">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 xml:space="preserve">Đồng Nai cũng chú trọng phát triển mạng lưới ĐMST từ cấp cơ sở, với mục tiêu mỗi xã, phường có ít nhất một điểm ĐMST hoặc không gian sáng tạo; đồng thời phát triển hệ sinh thái khởi nghiệp trong trường đại học, cơ sở giáo dục nghề nghiệp và doanh nghiệp trên địa bàn tỉnh. Tỉnh tiếp tục hoàn thiện Cổng thông tin Khởi nghiệp ĐMST Đồng Nai (startupdongnai.gov.vn) và xây dựng cơ sở dữ liệu về khoa học công nghệ và ĐMST nhằm hỗ trợ kết nối, chia sẻ thông tin và hỗ trợ doanh nghiệp. </w:t>
      </w:r>
    </w:p>
    <w:p w14:paraId="701D684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Theo mục tiêu đến năm 2030, Đồng Nai phấn đấu đưa Chỉ số ĐMST cấp địa phương (PII) vào nhóm 04 tỉnh, thành phố dẫn đầu cả nước; hình thành ít nhất 150 doanh nghiệp khởi nghiệp sáng tạo và 07 vườn ươm/trung tâm ĐMST; có từ 40% doanh nghiệp thực hiện hoạt động ĐMST. Đồng thời, tỉnh đặt mục tiêu mỗi năm có ít nhất 60 sản phẩm ĐMST được thương mại hóa; 30 dự án ĐMST được hỗ trợ từ ngân sách tỉnh; 20 sáng chế, giải pháp hữu ích mang địa chỉ Đồng Nai; 70 sáng kiến trong khu vực công được công nhận và khoảng 300 bài báo khoa học ứng dụng liên quan ĐMST. Tỉnh cũng hướng tới mục tiêu có ít nhất 25% doanh nghiệp vừa và nhỏ hợp tác nghiên cứu phát triển với viện, trường. </w:t>
      </w:r>
    </w:p>
    <w:p w14:paraId="33377FE2">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Bên cạnh phát triển hạ tầng và doanh nghiệp, Đồng Nai đặc biệt chú trọng phát triển nguồn nhân lực và văn hóa ĐMST trong toàn xã hội. Tỉnh triển khai các khóa đào tạo trực tuyến về ĐMST và khởi nghiệp sáng tạo; tổ chức các lớp đào tạo tư duy đổi mới trong khu vực công và doanh nghiệp; xây dựng mạng lưới chuyên gia, cố vấn khởi nghiệp; đồng thời thúc đẩy giáo dục STEM, các cuộc thi và chương trình trải nghiệm ĐMST dành cho học sinh, sinh viên. </w:t>
      </w:r>
    </w:p>
    <w:p w14:paraId="7331CB34">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Một điểm đáng chú ý trong chiến lược của Đồng Nai là định hướng phát triển hệ sinh thái ĐMST gắn với chuyển đổi số, đô thị sân bay Long Thành và công nghiệp công nghệ cao. Tỉnh nhấn mạnh việc triển khai cơ chế sandbox đối với các mô hình kinh doanh, công nghệ và sản phẩm mới; đồng thời tăng cường thu hút đầu tư, hợp tác quốc tế, kết nối với các hệ sinh thái ĐMST trong và ngoài nước nhằm hỗ trợ doanh nghiệp tiếp cận công nghệ, thị trường và nguồn vốn đầu tư. </w:t>
      </w:r>
    </w:p>
    <w:p w14:paraId="584D7C61">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Ngoài ra, Đồng Nai cũng chú trọng xây dựng cơ chế truyền thông và lan tỏa văn hóa ĐMST thông qua các ngày hội ĐMST, tuần lễ khoa học công nghệ, cuộc thi KNST và các chương trình kết nối doanh nghiệp – viện trường – quỹ đầu tư – chuyên gia. Tỉnh định hướng xây dựng hình ảnh Đồng Nai trở thành điểm đến năng động, sáng tạo và có khả năng thu hút nhân tài, doanh nghiệp công nghệ và các dự án ĐMST trong giai đoạn tới.</w:t>
      </w:r>
    </w:p>
    <w:p w14:paraId="2FA9840F">
      <w:pPr>
        <w:pStyle w:val="4"/>
        <w:rPr>
          <w:color w:val="000000" w:themeColor="text1"/>
          <w14:textFill>
            <w14:solidFill>
              <w14:schemeClr w14:val="tx1"/>
            </w14:solidFill>
          </w14:textFill>
        </w:rPr>
      </w:pPr>
      <w:bookmarkStart w:id="21" w:name="_Toc233183610"/>
      <w:r>
        <w:rPr>
          <w:color w:val="000000" w:themeColor="text1"/>
          <w14:textFill>
            <w14:solidFill>
              <w14:schemeClr w14:val="tx1"/>
            </w14:solidFill>
          </w14:textFill>
        </w:rPr>
        <w:t>2.2. Nhận xét chung về phát triển hệ sinh thái ĐMST tại các địa phương</w:t>
      </w:r>
      <w:bookmarkEnd w:id="21"/>
    </w:p>
    <w:p w14:paraId="153BFFB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Qua phân tích kinh nghiệm và định hướng phát triển hệ sinh thái ĐMST của một số địa phương có thể rút ra một số nhận xét chung như sau:</w:t>
      </w:r>
    </w:p>
    <w:p w14:paraId="39CE58F7">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nhất,</w:t>
      </w:r>
      <w:r>
        <w:rPr>
          <w:color w:val="000000" w:themeColor="text1"/>
          <w:sz w:val="26"/>
          <w:szCs w:val="26"/>
          <w:lang w:val="vi-VN"/>
          <w14:textFill>
            <w14:solidFill>
              <w14:schemeClr w14:val="tx1"/>
            </w14:solidFill>
          </w14:textFill>
        </w:rPr>
        <w:t xml:space="preserve"> ĐMST đang ngày càng trở thành một cấu phần quan trọng trong chiến lược phát triển kinh tế - xã hội của các địa phương. Nhiều tỉnh, thành phố đã chuyển từ cách tiếp cận hỗ trợ khởi nghiệp đơn lẻ sang xây dựng hệ sinh thái ĐMST tổng thể, chú trọng phát triển đồng bộ giữa thể chế, hạ tầng, nguồn nhân lực, tổ chức trung gian, dữ liệu và mạng lưới liên kết. Các mô hình trung tâm ĐMST, vườn ươm, quỹ hỗ trợ khởi nghiệp, không gian sáng tạo và chương trình hỗ trợ doanh nghiệp đổi mới công nghệ ngày càng được quan tâm đầu tư và gắn với các định hướng phát triển kinh tế đặc thù của từng địa phương như công nghiệp công nghệ cao, đô thị thông minh, kinh tế số, du lịch thông minh hoặc công nghiệp văn hóa.</w:t>
      </w:r>
    </w:p>
    <w:p w14:paraId="3C37BFC4">
      <w:pPr>
        <w:spacing w:before="120" w:line="312" w:lineRule="auto"/>
        <w:ind w:firstLine="720"/>
        <w:rPr>
          <w:color w:val="000000" w:themeColor="text1"/>
          <w:spacing w:val="-6"/>
          <w:sz w:val="26"/>
          <w:szCs w:val="26"/>
          <w:lang w:val="vi-VN"/>
          <w14:textFill>
            <w14:solidFill>
              <w14:schemeClr w14:val="tx1"/>
            </w14:solidFill>
          </w14:textFill>
        </w:rPr>
      </w:pPr>
      <w:r>
        <w:rPr>
          <w:i/>
          <w:iCs/>
          <w:color w:val="000000" w:themeColor="text1"/>
          <w:spacing w:val="-6"/>
          <w:sz w:val="26"/>
          <w:szCs w:val="26"/>
          <w:lang w:val="vi-VN"/>
          <w14:textFill>
            <w14:solidFill>
              <w14:schemeClr w14:val="tx1"/>
            </w14:solidFill>
          </w14:textFill>
        </w:rPr>
        <w:t>Thứ hai,</w:t>
      </w:r>
      <w:r>
        <w:rPr>
          <w:color w:val="000000" w:themeColor="text1"/>
          <w:spacing w:val="-6"/>
          <w:sz w:val="26"/>
          <w:szCs w:val="26"/>
          <w:lang w:val="vi-VN"/>
          <w14:textFill>
            <w14:solidFill>
              <w14:schemeClr w14:val="tx1"/>
            </w14:solidFill>
          </w14:textFill>
        </w:rPr>
        <w:t xml:space="preserve"> năng lực ĐMST giữa các vùng và địa phương hiện vẫn còn chênh lệch lớn. Các nguồn lực về tài chính, hạ tầng nghiên cứu, hoạt động R&amp;D, doanh nghiệp công nghệ, quỹ đầu tư, tổ chức trung gian và nguồn nhân lực chất lượng cao hiện tập trung chủ yếu tại Hà Nội và Thành phố Hồ Chí Minh. Đây đồng thời cũng là nơi tập trung phần lớn doanh nghiệp lớn trong lĩnh vực công nghệ và ĐMST, tạo lợi thế vượt trội về cơ hội nghề nghiệp, môi trường làm việc, khả năng tiếp cận thị trường và mạng lưới đầu tư. Điều này tạo ra sức ép lớn đối với các địa phương khác, đặc biệt là các tỉnh lân cận, trong việc thu hút nhân tài, startup công nghệ và doanh nghiệp ĐMST.</w:t>
      </w:r>
    </w:p>
    <w:p w14:paraId="41C49958">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ba,</w:t>
      </w:r>
      <w:r>
        <w:rPr>
          <w:color w:val="000000" w:themeColor="text1"/>
          <w:sz w:val="26"/>
          <w:szCs w:val="26"/>
          <w:lang w:val="vi-VN"/>
          <w14:textFill>
            <w14:solidFill>
              <w14:schemeClr w14:val="tx1"/>
            </w14:solidFill>
          </w14:textFill>
        </w:rPr>
        <w:t xml:space="preserve"> sự phân bổ nguồn lực không đồng đều giữa các địa phương dẫn đến khoảng cách đáng kể về năng lực ĐMST, khả năng thương mại hóa công nghệ và mức độ phát triển của hệ sinh thái. Nhiều địa phương dù có tiềm năng phát triển công nghiệp, du lịch hoặc kinh tế số nhưng vẫn thiếu các thiết chế trung gian, thiếu doanh nghiệp dẫn dắt, thiếu nguồn nhân lực chất lượng cao và thiếu cơ chế liên kết hiệu quả với các trung tâm ĐMST lớn. Bên cạnh đó, hạ tầng phục vụ ĐMST như không gian làm việc chung, phòng thí nghiệm, trung tâm thử nghiệm, nền tảng dữ liệu mở và hạ tầng số tại nhiều địa phương còn chưa đồng bộ; năng lực hấp thụ và đổi mới công nghệ của doanh nghiệp nhỏ và vừa còn hạn chế.</w:t>
      </w:r>
    </w:p>
    <w:p w14:paraId="2E3BA853">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tư,</w:t>
      </w:r>
      <w:r>
        <w:rPr>
          <w:color w:val="000000" w:themeColor="text1"/>
          <w:sz w:val="26"/>
          <w:szCs w:val="26"/>
          <w:lang w:val="vi-VN"/>
          <w14:textFill>
            <w14:solidFill>
              <w14:schemeClr w14:val="tx1"/>
            </w14:solidFill>
          </w14:textFill>
        </w:rPr>
        <w:t xml:space="preserve"> hành lang pháp lý và cơ chế hỗ trợ ĐMST tại nhiều địa phương vẫn chưa theo kịp tốc độ phát triển công nghệ và mô hình kinh doanh mới. Cơ chế sandbox, cơ chế đầu tư mạo hiểm, chính sách thu hút nhân lực chất lượng cao và hỗ trợ doanh nghiệp KNST còn thiếu hoặc chưa đủ mạnh. Đồng thời, nguồn lực tài chính cho ĐMST còn phân tán; doanh nghiệp khởi nghiệp sáng tạo khó tiếp cận vốn do thiếu tài sản bảo đảm và thiếu các quỹ đầu tư mạo hiểm cấp địa phương.</w:t>
      </w:r>
    </w:p>
    <w:p w14:paraId="41B54C72">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năm,</w:t>
      </w:r>
      <w:r>
        <w:rPr>
          <w:color w:val="000000" w:themeColor="text1"/>
          <w:sz w:val="26"/>
          <w:szCs w:val="26"/>
          <w:lang w:val="vi-VN"/>
          <w14:textFill>
            <w14:solidFill>
              <w14:schemeClr w14:val="tx1"/>
            </w14:solidFill>
          </w14:textFill>
        </w:rPr>
        <w:t xml:space="preserve"> liên kết giữa các chủ thể trong hệ sinh thái ĐMST còn chưa chặt chẽ. Liên kết vùng, cơ chế phối hợp giữa các địa phương và khả năng chia sẻ hạ tầng nghiên cứu, dữ liệu, không gian thử nghiệm và nguồn lực ĐMST còn hạn chế; hiệu quả chuyển hóa các nguồn lực đầu vào thành kết quả ĐMST thực tế ở nhiều địa phương chưa cao. Khoảng cách giữa hoạt động nghiên cứu của viện, trường với nhu cầu công nghệ của doanh nghiệp vẫn còn lớn; vai trò của các tổ chức trung gian như vườn ươm, tăng tốc, trung tâm chuyển giao công nghệ và mạng lưới cố vấn chưa thực sự phát huy hiệu quả.</w:t>
      </w:r>
    </w:p>
    <w:p w14:paraId="63429883">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sáu,</w:t>
      </w:r>
      <w:r>
        <w:rPr>
          <w:color w:val="000000" w:themeColor="text1"/>
          <w:sz w:val="26"/>
          <w:szCs w:val="26"/>
          <w:lang w:val="vi-VN"/>
          <w14:textFill>
            <w14:solidFill>
              <w14:schemeClr w14:val="tx1"/>
            </w14:solidFill>
          </w14:textFill>
        </w:rPr>
        <w:t xml:space="preserve"> văn hóa và nhận thức về ĐMST trong xã hội vẫn là một thách thức lớn. Tâm lý e ngại rủi ro, sợ thất bại, sợ trách nhiệm trong khu vực công và khu vực doanh nghiệp vẫn ảnh hưởng đến quá trình triển khai các hoạt động ĐMST; trong khi đó, hoạt động truyền thông và lan tỏa văn hóa ĐMST ở nhiều địa phương chưa đủ mạnh để hình thành tinh thần đổi mới rộng khắp trong cộng đồng.</w:t>
      </w:r>
    </w:p>
    <w:p w14:paraId="0CE1D766">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Có thể thấy, xu hướng phát triển hệ sinh thái ĐMST giai đoạn 2025–2030 sẽ chuyển mạnh theo hướng hoàn thiện thể chế, xây dựng cơ chế đặc thù cho ĐMST, phát triển hệ sinh thái dựa trên lợi thế so sánh của từng địa phương và thúc đẩy hình thành các cụm, hành lang và mạng lưới ĐMST liên vùng gắn với các ngành công nghiệp chiến lược, kinh tế số, chuyển đổi xanh và công nghệ cao. Điều này cho thấy việc nghiên cứu, phân tích sâu các chính sách, cơ chế và kế hoạch phát triển KHCN – ĐMST của từng địa phương có ý nghĩa quan trọng nhằm nhận diện mô hình phát triển, định hướng ưu tiên, cách thức tổ chức hệ sinh thái và các bài học kinh nghiệm có thể tham khảo trong quá trình xây dựng hệ sinh thái ĐMST phù hợp với điều kiện thực tiễn của tỉnh Ninh Bình.</w:t>
      </w:r>
    </w:p>
    <w:p w14:paraId="4F11168E">
      <w:pPr>
        <w:pStyle w:val="2"/>
        <w:spacing w:before="120" w:line="312" w:lineRule="auto"/>
        <w:jc w:val="center"/>
        <w:rPr>
          <w:color w:val="000000" w:themeColor="text1"/>
          <w:spacing w:val="-6"/>
          <w:lang w:val="vi-VN"/>
          <w14:textFill>
            <w14:solidFill>
              <w14:schemeClr w14:val="tx1"/>
            </w14:solidFill>
          </w14:textFill>
        </w:rPr>
      </w:pPr>
      <w:bookmarkStart w:id="22" w:name="_Toc233183611"/>
      <w:r>
        <w:rPr>
          <w:color w:val="000000" w:themeColor="text1"/>
          <w:spacing w:val="-6"/>
          <w:lang w:val="vi-VN"/>
          <w14:textFill>
            <w14:solidFill>
              <w14:schemeClr w14:val="tx1"/>
            </w14:solidFill>
          </w14:textFill>
        </w:rPr>
        <w:t>PHẦN III</w:t>
      </w:r>
      <w:r>
        <w:rPr>
          <w:color w:val="000000" w:themeColor="text1"/>
          <w:lang w:val="vi-VN"/>
          <w14:textFill>
            <w14:solidFill>
              <w14:schemeClr w14:val="tx1"/>
            </w14:solidFill>
          </w14:textFill>
        </w:rPr>
        <w:t xml:space="preserve"> – </w:t>
      </w:r>
      <w:r>
        <w:rPr>
          <w:color w:val="000000" w:themeColor="text1"/>
          <w:spacing w:val="-6"/>
          <w:lang w:val="vi-VN"/>
          <w14:textFill>
            <w14:solidFill>
              <w14:schemeClr w14:val="tx1"/>
            </w14:solidFill>
          </w14:textFill>
        </w:rPr>
        <w:t>THỰC TRẠNG VÀ TIỀM NĂNG PHÁT TRIỂN HỆ SINH THÁI ĐMST TỈNH NINH BÌNH</w:t>
      </w:r>
      <w:bookmarkEnd w:id="22"/>
    </w:p>
    <w:p w14:paraId="5D9B2FC2">
      <w:pPr>
        <w:pStyle w:val="3"/>
        <w:rPr>
          <w:color w:val="000000" w:themeColor="text1"/>
          <w14:textFill>
            <w14:solidFill>
              <w14:schemeClr w14:val="tx1"/>
            </w14:solidFill>
          </w14:textFill>
        </w:rPr>
      </w:pPr>
      <w:bookmarkStart w:id="23" w:name="_Toc233183612"/>
      <w:r>
        <w:rPr>
          <w:color w:val="000000" w:themeColor="text1"/>
          <w14:textFill>
            <w14:solidFill>
              <w14:schemeClr w14:val="tx1"/>
            </w14:solidFill>
          </w14:textFill>
        </w:rPr>
        <w:t>I. TỔNG QUAN VỀ ĐIỀU KIỆN TỰ NHIÊN, KINH TẾ - XÃ HỘI TỈNH NINH BÌNH</w:t>
      </w:r>
      <w:bookmarkEnd w:id="23"/>
    </w:p>
    <w:p w14:paraId="25840E14">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Tỉnh Ninh Bình được thành lập và đi vào hoạt động từ ngày 01/7/2025 trên cơ sở hợp nhất ba tỉnh Hà Nam, Nam Định và Ninh Bình theo Nghị quyết số 202/2025/QH15 và Nghị quyết số 1674/NQ-UBTVQH15. Sau sáp nhập, tỉnh có diện tích tự nhiên khoảng 3.942,62 km², quy mô dân số khoảng 4,41 triệu người và gồm 129 đơn vị hành chính cấp xã, bao gồm 97 xã và 32 phường. Việc hợp nhất không chỉ mở rộng không gian phát triển mà còn tạo tiền đề hình thành mô hình quản trị thống nhất theo chính quyền hai cấp (tỉnh – xã), tạo điều kiện thuận lợi cho công tác điều hành, cải cách hành chính, chuyển đổi số và phát triển hệ sinh thái ĐMST ở quy mô vùng.</w:t>
      </w:r>
    </w:p>
    <w:p w14:paraId="561CDE9F">
      <w:pPr>
        <w:spacing w:before="120" w:line="312" w:lineRule="auto"/>
        <w:ind w:firstLine="720"/>
        <w:rPr>
          <w:color w:val="000000" w:themeColor="text1"/>
          <w:spacing w:val="-2"/>
          <w:sz w:val="26"/>
          <w:szCs w:val="26"/>
          <w:lang w:val="vi-VN"/>
          <w14:textFill>
            <w14:solidFill>
              <w14:schemeClr w14:val="tx1"/>
            </w14:solidFill>
          </w14:textFill>
        </w:rPr>
      </w:pPr>
      <w:r>
        <w:rPr>
          <w:color w:val="000000" w:themeColor="text1"/>
          <w:spacing w:val="-2"/>
          <w:sz w:val="26"/>
          <w:szCs w:val="26"/>
          <w:lang w:val="vi-VN"/>
          <w14:textFill>
            <w14:solidFill>
              <w14:schemeClr w14:val="tx1"/>
            </w14:solidFill>
          </w14:textFill>
        </w:rPr>
        <w:t>Ninh Bình sở hữu vị trí địa lý có ý nghĩa chiến lược trong liên kết vùng, nằm tại khu vực chuyển tiếp giữa Đồng bằng sông Hồng và Bắc Trung Bộ, đồng thời là cửa ngõ hướng ra biển của khu vực phía Nam đồng bằng Bắc Bộ. Sau hợp nhất, tỉnh trở thành đầu mối kết nối giữa vùng Thủ đô Hà Nội, khu vực đồng bằng sông Hồng và miền Trung thông qua hệ thống hạ tầng giao thông đa phương thức gồm các tuyến cao tốc Bắc - Nam, quốc lộ huyết mạch, đường sắt xuyên Việt và hệ thống logistics đường thủy nội địa. Đây là lợi thế quan trọng để phát triển công nghiệp, logistics, dịch vụ và các hành lang liên kết kinh tế – công nghệ liên vùng.</w:t>
      </w:r>
    </w:p>
    <w:p w14:paraId="2C954CE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Tỉnh Ninh Bình đang bước vào giai đoạn phát triển mới, vừa có dư địa tăng trưởng lớn, vừa đặt ra yêu cầu tái cấu trúc mô hình phát triển theo hướng dựa nhiều hơn vào khoa học, công nghệ, đổi mới sáng tạo và chuyển đổi số.</w:t>
      </w:r>
    </w:p>
    <w:p w14:paraId="76B53820">
      <w:pPr>
        <w:pStyle w:val="4"/>
        <w:rPr>
          <w:color w:val="000000" w:themeColor="text1"/>
          <w14:textFill>
            <w14:solidFill>
              <w14:schemeClr w14:val="tx1"/>
            </w14:solidFill>
          </w14:textFill>
        </w:rPr>
      </w:pPr>
      <w:bookmarkStart w:id="24" w:name="_Toc233183613"/>
      <w:r>
        <w:rPr>
          <w:color w:val="000000" w:themeColor="text1"/>
          <w14:textFill>
            <w14:solidFill>
              <w14:schemeClr w14:val="tx1"/>
            </w14:solidFill>
          </w14:textFill>
        </w:rPr>
        <w:t>1.1. Tăng trưởng kinh tế (GRDP)</w:t>
      </w:r>
      <w:bookmarkEnd w:id="24"/>
    </w:p>
    <w:p w14:paraId="2137128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Tỉnh Ninh Bình đang duy trì tốc độ tăng trưởng kinh tế ở mức cao, tạo nền tảng quan trọng cho việc hình thành và phát triển hệ sinh thái đổi mới sáng tạo. Năm 2025, tổng sản phẩm trên địa bàn (GRDP) đạt khoảng 342,8 nghìn tỷ đồng, tăng 10,65% so với năm trước; quý I năm 2026 tiếp tục tăng trưởng 11,63%, thuộc nhóm các địa phương có tốc độ tăng trưởng cao của cả nước.</w:t>
      </w:r>
    </w:p>
    <w:p w14:paraId="58CE4B9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Quy mô nền kinh tế không ngừng được mở rộng, phản ánh năng lực hấp thụ công nghệ, khả năng huy động nguồn lực đầu tư và tiềm năng phát triển các ngành kinh tế dựa trên tri thức. Động lực tăng trưởng chủ yếu đến từ khu vực công nghiệp chế biến, chế tạo với tốc độ tăng trưởng trên 16%, đồng thời khu vực dịch vụ tiếp tục phát triển mạnh, đặc biệt là du lịch, logistics và các dịch vụ có giá trị gia tăng cao. Tốc độ tăng trưởng kinh tế ổn định trong nhiều năm liên tiếp tạo điều kiện thuận lợi để tỉnh đầu tư cho khoa học công nghệ, ĐMST và phát triển nguồn nhân lực chất lượng cao. Tuy nhiên, tăng trưởng nhanh cũng đặt ra yêu cầu nâng cao năng suất, năng lực công nghệ và chất lượng tham gia chuỗi giá trị của doanh nghiệp địa phương.</w:t>
      </w:r>
    </w:p>
    <w:p w14:paraId="7D35A595">
      <w:pPr>
        <w:pStyle w:val="4"/>
        <w:rPr>
          <w:color w:val="000000" w:themeColor="text1"/>
          <w14:textFill>
            <w14:solidFill>
              <w14:schemeClr w14:val="tx1"/>
            </w14:solidFill>
          </w14:textFill>
        </w:rPr>
      </w:pPr>
      <w:bookmarkStart w:id="25" w:name="_Toc233183614"/>
      <w:r>
        <w:rPr>
          <w:color w:val="000000" w:themeColor="text1"/>
          <w14:textFill>
            <w14:solidFill>
              <w14:schemeClr w14:val="tx1"/>
            </w14:solidFill>
          </w14:textFill>
        </w:rPr>
        <w:t>1.2. Thu hút đầu tư</w:t>
      </w:r>
      <w:bookmarkEnd w:id="25"/>
    </w:p>
    <w:p w14:paraId="0E1E2FE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Bên cạnh tăng trưởng kinh tế, năng lực huy động và phân bổ nguồn lực đầu tư của tỉnh cũng đang được cải thiện rõ rệt, tạo tiền đề quan trọng cho phát triển hệ sinh thái đổi mới sáng tạo. Năm 2025, tổng vốn đầu tư phát triển toàn xã hội trên địa bàn đạt </w:t>
      </w:r>
      <w:r>
        <w:rPr>
          <w:color w:val="000000" w:themeColor="text1"/>
          <w:sz w:val="26"/>
          <w:szCs w:val="26"/>
          <w:lang w:val="vi-VN" w:eastAsia="zh-CN"/>
          <w14:textFill>
            <w14:solidFill>
              <w14:schemeClr w14:val="tx1"/>
            </w14:solidFill>
          </w14:textFill>
        </w:rPr>
        <w:t>175.695</w:t>
      </w:r>
      <w:r>
        <w:rPr>
          <w:color w:val="000000" w:themeColor="text1"/>
          <w:sz w:val="26"/>
          <w:szCs w:val="26"/>
          <w:lang w:val="vi-VN"/>
          <w14:textFill>
            <w14:solidFill>
              <w14:schemeClr w14:val="tx1"/>
            </w14:solidFill>
          </w14:textFill>
        </w:rPr>
        <w:t xml:space="preserve"> tỷ đồng, tăng 22,5% so với năm 2024. Trong đó, vốn đầu tư khu vực Nhà nước đạt </w:t>
      </w:r>
      <w:r>
        <w:rPr>
          <w:color w:val="000000" w:themeColor="text1"/>
          <w:sz w:val="26"/>
          <w:szCs w:val="26"/>
          <w:lang w:val="vi-VN" w:eastAsia="zh-CN"/>
          <w14:textFill>
            <w14:solidFill>
              <w14:schemeClr w14:val="tx1"/>
            </w14:solidFill>
          </w14:textFill>
        </w:rPr>
        <w:t>60.059</w:t>
      </w:r>
      <w:r>
        <w:rPr>
          <w:color w:val="000000" w:themeColor="text1"/>
          <w:sz w:val="26"/>
          <w:szCs w:val="26"/>
          <w:lang w:val="vi-VN"/>
          <w14:textFill>
            <w14:solidFill>
              <w14:schemeClr w14:val="tx1"/>
            </w14:solidFill>
          </w14:textFill>
        </w:rPr>
        <w:t xml:space="preserve"> tỷ đồng, chiếm 34,2% tổng vốn đầu tư và tăng 76,5%; vốn ngoài Nhà nước đạt 89.875 tỷ đồng, chiếm 51,2%; vốn đầu tư trực tiếp nước ngoài (FDI) đạt 25.761 tỷ đồng, chiếm 14,6%. Đáng chú ý, vốn đầu tư từ ngân sách địa phương đạt 56.225 tỷ đồng, gấp 2,2 lần năm trước, tập trung vào các công trình hạ tầng trọng điểm trong lĩnh vực giao thông, giáo dục, y tế, phát triển đô thị và các khu chức năng kinh tế. Việc tăng đầu tư cho hạ tầng góp phần cải thiện điều kiện kết nối và tạo nền tảng cho các hoạt động nghiên cứu, đổi mới công nghệ và phát triển doanh nghiệp trong giai đoạn tới.</w:t>
      </w:r>
    </w:p>
    <w:p w14:paraId="3720849D">
      <w:pPr>
        <w:pStyle w:val="4"/>
        <w:rPr>
          <w:color w:val="000000" w:themeColor="text1"/>
          <w14:textFill>
            <w14:solidFill>
              <w14:schemeClr w14:val="tx1"/>
            </w14:solidFill>
          </w14:textFill>
        </w:rPr>
      </w:pPr>
      <w:bookmarkStart w:id="26" w:name="_Toc233183615"/>
      <w:r>
        <w:rPr>
          <w:color w:val="000000" w:themeColor="text1"/>
          <w14:textFill>
            <w14:solidFill>
              <w14:schemeClr w14:val="tx1"/>
            </w14:solidFill>
          </w14:textFill>
        </w:rPr>
        <w:t>1.3. Cơ cấu kinh tế</w:t>
      </w:r>
      <w:bookmarkEnd w:id="26"/>
    </w:p>
    <w:p w14:paraId="758C50C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Cơ cấu kinh tế của tỉnh Ninh Bình đang chuyển dịch theo hướng hiện đại, tạo nền tảng thuận lợi cho phát triển hệ sinh thái đổi mới sáng tạo. Năm 2025, khu vực công nghiệp – xây dựng chiếm 47,05% GRDP; khu vực dịch vụ chiếm 34,39%; khu vực nông, lâm nghiệp và thủy sản chiếm 11,04%.</w:t>
      </w:r>
    </w:p>
    <w:p w14:paraId="2302CE2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Trong đó, công nghiệp chế biến, chế tạo giữ vai trò động lực tăng trưởng chủ yếu, là khu vực có nhu cầu lớn về đổi mới công nghệ, chuyển đổi số, tự động hóa và phát triển nguồn nhân lực kỹ thuật chất lượng cao. Khu vực dịch vụ phát triển mạnh với nhiều lĩnh vực có tiềm năng đổi mới sáng tạo như du lịch, logistics, thương mại điện tử, tài chính số và các dịch vụ hỗ trợ doanh nghiệp. Đặc biệt, du lịch đang trở thành ngành kinh tế mũi nhọn của tỉnh. Năm 2025, Ninh Bình đón khoảng 19,4 triệu lượt khách và đạt doanh thu du lịch trên 21,2 nghìn tỷ đồng. Quy mô thị trường lớn cùng hệ thống di sản văn hóa, lịch sử và thiên nhiên đặc sắc tạo điều kiện thuận lợi để phát triển các mô hình du lịch thông minh, kinh tế sáng tạo, ứng dụng công nghệ số trong quản lý điểm đến, bảo tồn di sản và nâng cao trải nghiệm du khách. </w:t>
      </w:r>
    </w:p>
    <w:p w14:paraId="3DABD0D6">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Tuy nhiên, cơ cấu tăng trưởng hiện vẫn phụ thuộc đáng kể vào khu vực công nghiệp chế biến, chế tạo và doanh nghiệp FDI; do đó yêu cầu nâng cao năng lực công nghệ của doanh nghiệp trong nước là vấn đề cần được chú trọng.</w:t>
      </w:r>
    </w:p>
    <w:p w14:paraId="037788B3">
      <w:pPr>
        <w:pStyle w:val="4"/>
        <w:rPr>
          <w:color w:val="000000" w:themeColor="text1"/>
          <w14:textFill>
            <w14:solidFill>
              <w14:schemeClr w14:val="tx1"/>
            </w14:solidFill>
          </w14:textFill>
        </w:rPr>
      </w:pPr>
      <w:bookmarkStart w:id="27" w:name="_Toc233183616"/>
      <w:r>
        <w:rPr>
          <w:color w:val="000000" w:themeColor="text1"/>
          <w14:textFill>
            <w14:solidFill>
              <w14:schemeClr w14:val="tx1"/>
            </w14:solidFill>
          </w14:textFill>
        </w:rPr>
        <w:t>1.4. Nguồn nhân lực</w:t>
      </w:r>
      <w:bookmarkEnd w:id="27"/>
    </w:p>
    <w:p w14:paraId="1BC3DE2C">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Nguồn nhân lực là một trong những lợi thế quan trọng của tỉnh Ninh Bình trong quá trình phát triển khoa học, công nghệ và đổi mới sáng tạo. Sau hợp nhất, tỉnh có quy mô dân số khoảng 4,41 triệu người, thuộc nhóm địa phương có dân số lớn của khu vực Đồng bằng sông Hồng. Năm 2025, lực lượng lao động từ 15 tuổi trở lên đạt khoảng 1,95 triệu người, trong đó số lao động đang làm việc trong nền kinh tế đạt khoảng 1,91 triệu người.</w:t>
      </w:r>
    </w:p>
    <w:p w14:paraId="442EF8BA">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Cơ cấu lao động đang chuyển dịch theo hướng tích cực, phù hợp với quá trình công nghiệp hóa và phát triển kinh tế hiện đại. Lao động trong khu vực công nghiệp – xây dựng năm 2025 chiếm 48,2% tổng số lao động đang làm việc; khu vực dịch vụ chiếm 36,4%; khu vực nông, lâm nghiệp và thủy sản còn 15,4%. Điều này cho thấy nền kinh tế của tỉnh đã hình thành lực lượng lao động có kinh nghiệm trong các ngành sản xuất công nghiệp, dịch vụ và logistics.</w:t>
      </w:r>
    </w:p>
    <w:p w14:paraId="5908E0F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Bên cạnh lợi thế về quy mô lao động, chất lượng nguồn nhân lực của tỉnh cũng từng bước được nâng cao thông qua hệ thống giáo dục và đào tạo tương đối phát triển. Cơ sở vật chất giáo dục tiếp tục được đầu tư đồng bộ với tỷ lệ phòng học kiên cố đạt khoảng 99%; tỷ lệ trường học đạt chuẩn quốc gia ở các cấp học đều ở mức cao. Chất lượng giáo dục phổ thông thuộc nhóm dẫn đầu cả nước, thể hiện qua kết quả kỳ thi tốt nghiệp trung học phổ thông và các kỳ thi học sinh giỏi quốc gia, quốc tế.</w:t>
      </w:r>
    </w:p>
    <w:p w14:paraId="44AC5FE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Sau hợp nhất, tỉnh Ninh Bình cũng sở hữu mạng lưới các cơ sở giáo dục nghề nghiệp, cao đẳng và đào tạo kỹ thuật có quy mô lớn hơn, tạo điều kiện thuận lợi cho việc phát triển nguồn nhân lực. Đây là yếu tố quan trọng để thúc đẩy liên kết giữa cơ sở đào tạo với doanh nghiệp, hình thành các chương trình đào tạo gắn với nhu cầu thị trường lao động và nâng cao năng lực ĐMST của địa phương trong dài hạn. Mặc dù vậy, nguồn nhân lực chất lượng cao trong các lĩnh vực công nghệ mới, quản trị đổi mới sáng tạo, nghiên cứu ứng dụng và thương mại hóa công nghệ vẫn còn hạn chế so với yêu cầu phát triển các ngành công nghệ cao.</w:t>
      </w:r>
    </w:p>
    <w:p w14:paraId="23E88693">
      <w:pPr>
        <w:pStyle w:val="4"/>
        <w:rPr>
          <w:color w:val="000000" w:themeColor="text1"/>
          <w14:textFill>
            <w14:solidFill>
              <w14:schemeClr w14:val="tx1"/>
            </w14:solidFill>
          </w14:textFill>
        </w:rPr>
      </w:pPr>
      <w:bookmarkStart w:id="28" w:name="_Toc233183617"/>
      <w:r>
        <w:rPr>
          <w:color w:val="000000" w:themeColor="text1"/>
          <w14:textFill>
            <w14:solidFill>
              <w14:schemeClr w14:val="tx1"/>
            </w14:solidFill>
          </w14:textFill>
        </w:rPr>
        <w:t>1.5. Tiềm năng phát triển hệ sinh thái ĐMST của tỉnh Ninh Bình</w:t>
      </w:r>
      <w:bookmarkEnd w:id="28"/>
    </w:p>
    <w:p w14:paraId="2A7F84D4">
      <w:pPr>
        <w:spacing w:before="120" w:line="312" w:lineRule="auto"/>
        <w:ind w:firstLine="720"/>
        <w:rPr>
          <w:color w:val="000000" w:themeColor="text1"/>
          <w:spacing w:val="-6"/>
          <w:sz w:val="26"/>
          <w:szCs w:val="26"/>
          <w:lang w:val="vi"/>
          <w14:textFill>
            <w14:solidFill>
              <w14:schemeClr w14:val="tx1"/>
            </w14:solidFill>
          </w14:textFill>
        </w:rPr>
      </w:pPr>
      <w:r>
        <w:rPr>
          <w:color w:val="000000" w:themeColor="text1"/>
          <w:spacing w:val="-6"/>
          <w:sz w:val="26"/>
          <w:szCs w:val="26"/>
          <w:lang w:val="vi-VN"/>
          <w14:textFill>
            <w14:solidFill>
              <w14:schemeClr w14:val="tx1"/>
            </w14:solidFill>
          </w14:textFill>
        </w:rPr>
        <w:t xml:space="preserve">Từ các điều kiện về vị trí địa lý, quy mô kinh tế, năng lực thu hút đầu tư, cơ cấu ngành kinh tế và nguồn nhân lực, có thể thấy </w:t>
      </w:r>
      <w:r>
        <w:rPr>
          <w:color w:val="000000" w:themeColor="text1"/>
          <w:spacing w:val="-6"/>
          <w:sz w:val="26"/>
          <w:szCs w:val="26"/>
          <w:lang w:val="vi"/>
          <w14:textFill>
            <w14:solidFill>
              <w14:schemeClr w14:val="tx1"/>
            </w14:solidFill>
          </w14:textFill>
        </w:rPr>
        <w:t>Ninh Bình đang dần hình thành một mô hình phát triển đặc thù mang tính đa trục, trong đó công nghiệp chế biến, chế tạo và du lịch – kinh tế di sản là hai trục phát triển chính. Không chỉ sở hữu các trục tăng trưởng quan trọng, Ninh Bình còn hội tụ nhiều điều kiện có khả năng bổ trợ lẫn nhau để hình thành một hệ sinh thái ĐMST đa ngành, gắn với đặc thù phát triển của địa phương.</w:t>
      </w:r>
    </w:p>
    <w:p w14:paraId="7917812B">
      <w:pPr>
        <w:spacing w:before="120" w:line="312" w:lineRule="auto"/>
        <w:ind w:firstLine="720"/>
        <w:rPr>
          <w:color w:val="000000" w:themeColor="text1"/>
          <w:sz w:val="26"/>
          <w:szCs w:val="26"/>
          <w:lang w:val="vi"/>
          <w14:textFill>
            <w14:solidFill>
              <w14:schemeClr w14:val="tx1"/>
            </w14:solidFill>
          </w14:textFill>
        </w:rPr>
      </w:pPr>
      <w:r>
        <w:rPr>
          <w:i/>
          <w:iCs/>
          <w:color w:val="000000" w:themeColor="text1"/>
          <w:sz w:val="26"/>
          <w:szCs w:val="26"/>
          <w:lang w:val="vi"/>
          <w14:textFill>
            <w14:solidFill>
              <w14:schemeClr w14:val="tx1"/>
            </w14:solidFill>
          </w14:textFill>
        </w:rPr>
        <w:t>Thứ nhất,</w:t>
      </w:r>
      <w:r>
        <w:rPr>
          <w:color w:val="000000" w:themeColor="text1"/>
          <w:sz w:val="26"/>
          <w:szCs w:val="26"/>
          <w:lang w:val="vi"/>
          <w14:textFill>
            <w14:solidFill>
              <w14:schemeClr w14:val="tx1"/>
            </w14:solidFill>
          </w14:textFill>
        </w:rPr>
        <w:t xml:space="preserve"> về công nghiệp, Ninh Bình đã hình thành hệ sinh thái sản xuất quy mô lớn với gần 60 doanh nghiệp FDI công nghệ cao trong lĩnh vực điện tử, cơ khí chính xác và sản xuất công nghiệp, hoạt động tại 19 khu công nghiệp. Sự hiện diện của các tập đoàn như Quanta, Qisda, Wistron và Hyundai Thành Công không chỉ đóng góp vào tăng trưởng kinh tế mà còn tạo nền tảng để tỉnh tham gia sâu hơn vào các chuỗi giá trị công nghệ và sản xuất toàn cầu.</w:t>
      </w:r>
    </w:p>
    <w:p w14:paraId="15C34BC1">
      <w:pPr>
        <w:spacing w:before="120" w:line="312" w:lineRule="auto"/>
        <w:ind w:firstLine="720"/>
        <w:rPr>
          <w:color w:val="000000" w:themeColor="text1"/>
          <w:spacing w:val="-10"/>
          <w:sz w:val="26"/>
          <w:szCs w:val="26"/>
          <w:lang w:val="vi-VN"/>
          <w14:textFill>
            <w14:solidFill>
              <w14:schemeClr w14:val="tx1"/>
            </w14:solidFill>
          </w14:textFill>
        </w:rPr>
      </w:pPr>
      <w:r>
        <w:rPr>
          <w:i/>
          <w:iCs/>
          <w:color w:val="000000" w:themeColor="text1"/>
          <w:spacing w:val="-10"/>
          <w:sz w:val="26"/>
          <w:szCs w:val="26"/>
          <w:lang w:val="vi"/>
          <w14:textFill>
            <w14:solidFill>
              <w14:schemeClr w14:val="tx1"/>
            </w14:solidFill>
          </w14:textFill>
        </w:rPr>
        <w:t>Thứ hai,</w:t>
      </w:r>
      <w:r>
        <w:rPr>
          <w:color w:val="000000" w:themeColor="text1"/>
          <w:spacing w:val="-10"/>
          <w:sz w:val="26"/>
          <w:szCs w:val="26"/>
          <w:lang w:val="vi"/>
          <w14:textFill>
            <w14:solidFill>
              <w14:schemeClr w14:val="tx1"/>
            </w14:solidFill>
          </w14:textFill>
        </w:rPr>
        <w:t xml:space="preserve"> về dịch vụ và du lịch, tỉnh sở hữu Di sản Thế giới kép Tràng An cùng hệ thống di sản văn hóa – lịch sử phong phú, tạo nền tảng cho phát triển du lịch theo hướng chất lượng cao và có giá trị gia tăng lớn. Du lịch không chỉ là ngành dịch vụ mà đang từng bước trở thành trụ cột chiến lược gắn với phát triển công nghiệp văn hóa và kinh tế di sản.</w:t>
      </w:r>
    </w:p>
    <w:p w14:paraId="003DEBA1">
      <w:pPr>
        <w:spacing w:before="120" w:line="312" w:lineRule="auto"/>
        <w:ind w:firstLine="720"/>
        <w:rPr>
          <w:color w:val="000000" w:themeColor="text1"/>
          <w:sz w:val="26"/>
          <w:szCs w:val="26"/>
          <w:lang w:val="vi"/>
          <w14:textFill>
            <w14:solidFill>
              <w14:schemeClr w14:val="tx1"/>
            </w14:solidFill>
          </w14:textFill>
        </w:rPr>
      </w:pPr>
      <w:r>
        <w:rPr>
          <w:i/>
          <w:iCs/>
          <w:color w:val="000000" w:themeColor="text1"/>
          <w:sz w:val="26"/>
          <w:szCs w:val="26"/>
          <w:lang w:val="vi"/>
          <w14:textFill>
            <w14:solidFill>
              <w14:schemeClr w14:val="tx1"/>
            </w14:solidFill>
          </w14:textFill>
        </w:rPr>
        <w:t>Thứ ba</w:t>
      </w:r>
      <w:r>
        <w:rPr>
          <w:color w:val="000000" w:themeColor="text1"/>
          <w:sz w:val="26"/>
          <w:szCs w:val="26"/>
          <w:lang w:val="vi"/>
          <w14:textFill>
            <w14:solidFill>
              <w14:schemeClr w14:val="tx1"/>
            </w14:solidFill>
          </w14:textFill>
        </w:rPr>
        <w:t>, về nguồn nhân lực và tri thức, Ninh Bình hiện có 05 trường đại học cùng Khu Đại học Nam Cao đang được định hướng phát triển như một cực tăng trưởng mới, thu hút các cơ sở đào tạo lớn như Đại học Xây dựng và Đại học Giao thông Vận tải, với quy mô dự kiến từ 50.000 đến 80.000 sinh viên. Đây là nền tảng quan trọng để hình thành nguồn nhân lực chất lượng cao và thúc đẩy các hoạt động nghiên cứu, chuyển giao công nghệ trong tương lai.</w:t>
      </w:r>
    </w:p>
    <w:p w14:paraId="2D42C569">
      <w:pPr>
        <w:spacing w:before="120" w:line="312" w:lineRule="auto"/>
        <w:ind w:firstLine="720"/>
        <w:rPr>
          <w:color w:val="000000" w:themeColor="text1"/>
          <w:sz w:val="26"/>
          <w:szCs w:val="26"/>
          <w:lang w:val="vi"/>
          <w14:textFill>
            <w14:solidFill>
              <w14:schemeClr w14:val="tx1"/>
            </w14:solidFill>
          </w14:textFill>
        </w:rPr>
      </w:pPr>
      <w:r>
        <w:rPr>
          <w:i/>
          <w:iCs/>
          <w:color w:val="000000" w:themeColor="text1"/>
          <w:sz w:val="26"/>
          <w:szCs w:val="26"/>
          <w:lang w:val="vi"/>
          <w14:textFill>
            <w14:solidFill>
              <w14:schemeClr w14:val="tx1"/>
            </w14:solidFill>
          </w14:textFill>
        </w:rPr>
        <w:t>Thứ tư</w:t>
      </w:r>
      <w:r>
        <w:rPr>
          <w:color w:val="000000" w:themeColor="text1"/>
          <w:sz w:val="26"/>
          <w:szCs w:val="26"/>
          <w:lang w:val="vi"/>
          <w14:textFill>
            <w14:solidFill>
              <w14:schemeClr w14:val="tx1"/>
            </w14:solidFill>
          </w14:textFill>
        </w:rPr>
        <w:t xml:space="preserve">, về không gian phát triển khoa học, công nghệ và </w:t>
      </w:r>
      <w:r>
        <w:rPr>
          <w:color w:val="000000" w:themeColor="text1"/>
          <w:sz w:val="26"/>
          <w:szCs w:val="26"/>
          <w:lang w:val="en-GB"/>
          <w14:textFill>
            <w14:solidFill>
              <w14:schemeClr w14:val="tx1"/>
            </w14:solidFill>
          </w14:textFill>
        </w:rPr>
        <w:t>Đ</w:t>
      </w:r>
      <w:r>
        <w:rPr>
          <w:rFonts w:hint="default"/>
          <w:color w:val="000000" w:themeColor="text1"/>
          <w:sz w:val="26"/>
          <w:szCs w:val="26"/>
          <w:lang w:val="en-GB"/>
          <w14:textFill>
            <w14:solidFill>
              <w14:schemeClr w14:val="tx1"/>
            </w14:solidFill>
          </w14:textFill>
        </w:rPr>
        <w:t>MST</w:t>
      </w:r>
      <w:r>
        <w:rPr>
          <w:color w:val="000000" w:themeColor="text1"/>
          <w:sz w:val="26"/>
          <w:szCs w:val="26"/>
          <w:lang w:val="vi"/>
          <w14:textFill>
            <w14:solidFill>
              <w14:schemeClr w14:val="tx1"/>
            </w14:solidFill>
          </w14:textFill>
        </w:rPr>
        <w:t>, sau hợp nhất tỉnh Ninh Bình có thêm lợi thế quan trọng từ Khu Công nghệ cao Hà Nam và Khu Đại học Nam Cao. Đây là khu vực có vị trí địa lý thuận lợi, kết nối giao thông tốt, quỹ đất phát triển lớn và đang được tập trung đầu tư hệ thống hạ tầng kỹ thuật đồng bộ, tạo điều kiện thu hút các dự án công nghệ cao, trung tâm nghiên cứu phát triển, doanh nghiệp đổi mới sáng tạo và các hoạt động chuyển giao công nghệ.</w:t>
      </w:r>
    </w:p>
    <w:p w14:paraId="759C1E37">
      <w:pPr>
        <w:spacing w:before="120" w:line="312" w:lineRule="auto"/>
        <w:ind w:firstLine="720"/>
        <w:rPr>
          <w:color w:val="000000" w:themeColor="text1"/>
          <w:spacing w:val="-4"/>
          <w:sz w:val="26"/>
          <w:szCs w:val="26"/>
          <w:lang w:val="vi"/>
          <w14:textFill>
            <w14:solidFill>
              <w14:schemeClr w14:val="tx1"/>
            </w14:solidFill>
          </w14:textFill>
        </w:rPr>
      </w:pPr>
      <w:r>
        <w:rPr>
          <w:i/>
          <w:iCs/>
          <w:color w:val="000000" w:themeColor="text1"/>
          <w:spacing w:val="-4"/>
          <w:sz w:val="26"/>
          <w:szCs w:val="26"/>
          <w:lang w:val="vi"/>
          <w14:textFill>
            <w14:solidFill>
              <w14:schemeClr w14:val="tx1"/>
            </w14:solidFill>
          </w14:textFill>
        </w:rPr>
        <w:t>Thứ năm</w:t>
      </w:r>
      <w:r>
        <w:rPr>
          <w:color w:val="000000" w:themeColor="text1"/>
          <w:spacing w:val="-4"/>
          <w:sz w:val="26"/>
          <w:szCs w:val="26"/>
          <w:lang w:val="vi"/>
          <w14:textFill>
            <w14:solidFill>
              <w14:schemeClr w14:val="tx1"/>
            </w14:solidFill>
          </w14:textFill>
        </w:rPr>
        <w:t>, về khoa học sự sống và dược phẩm, Ninh Bình đang từng bước hình thành cụm liên kết ngành với sự hiện diện của các doanh nghiệp như Dược Nam Hà, Công ty Cổ phần Dược phẩm PQA, Công ty Cổ phần Sao Thái Dương chi nhánh Ninh Bình, Công ty TNHH Dược phẩm Hoa Linh… Lợi thế nổi bật của tỉnh là khả năng kết hợp giữa năng lực sản xuất công nghiệp với nguồn dược liệu đặc hữu từ Vườn quốc gia Cúc Phương và khu đất ngập nước Vân Long. Đây là nền tảng thuận lợi để phát triển công nghệ sinh học, dược phẩm xanh và các sản phẩm giá trị gia tăng cao trong tương lai.</w:t>
      </w:r>
    </w:p>
    <w:p w14:paraId="0140125B">
      <w:pPr>
        <w:spacing w:before="120" w:line="312" w:lineRule="auto"/>
        <w:ind w:firstLine="720"/>
        <w:rPr>
          <w:color w:val="000000" w:themeColor="text1"/>
          <w:sz w:val="26"/>
          <w:szCs w:val="26"/>
          <w:lang w:val="vi"/>
          <w14:textFill>
            <w14:solidFill>
              <w14:schemeClr w14:val="tx1"/>
            </w14:solidFill>
          </w14:textFill>
        </w:rPr>
      </w:pPr>
      <w:r>
        <w:rPr>
          <w:i/>
          <w:iCs/>
          <w:color w:val="000000" w:themeColor="text1"/>
          <w:sz w:val="26"/>
          <w:szCs w:val="26"/>
          <w:lang w:val="vi"/>
          <w14:textFill>
            <w14:solidFill>
              <w14:schemeClr w14:val="tx1"/>
            </w14:solidFill>
          </w14:textFill>
        </w:rPr>
        <w:t>Thứ sáu</w:t>
      </w:r>
      <w:r>
        <w:rPr>
          <w:color w:val="000000" w:themeColor="text1"/>
          <w:sz w:val="26"/>
          <w:szCs w:val="26"/>
          <w:lang w:val="vi"/>
          <w14:textFill>
            <w14:solidFill>
              <w14:schemeClr w14:val="tx1"/>
            </w14:solidFill>
          </w14:textFill>
        </w:rPr>
        <w:t>, về vị trí chiến lược và hạ tầng kết nối, sau khi hợp nhất, Ninh Bình trở thành cửa ngõ quan trọng của khu vực phía Nam Đồng bằng sông Hồng, đồng thời là không gian liên kết giữa vùng Thủ đô, vùng duyên hải Bắc Bộ và khu vực Bắc Trung Bộ. Hệ thống giao thông đa dạng gồm đường bộ cao tốc, quốc lộ, đường sắt Bắc – Nam, đường thủy nội địa và mạng lưới cảng biển lân cận tạo điều kiện thuận lợi cho lưu chuyển hàng hóa, dịch vụ, tri thức và công nghệ. Đây là nền tảng quan trọng để thúc đẩy liên kết vùng, thu hút đầu tư và hình thành các mạng lưới đổi mới sáng tạo liên ngành, liên địa phương.</w:t>
      </w:r>
    </w:p>
    <w:p w14:paraId="120CCF9B">
      <w:pPr>
        <w:spacing w:before="120" w:line="312" w:lineRule="auto"/>
        <w:ind w:firstLine="720"/>
        <w:rPr>
          <w:color w:val="000000" w:themeColor="text1"/>
          <w:sz w:val="26"/>
          <w:szCs w:val="26"/>
          <w:lang w:val="vi"/>
          <w14:textFill>
            <w14:solidFill>
              <w14:schemeClr w14:val="tx1"/>
            </w14:solidFill>
          </w14:textFill>
        </w:rPr>
      </w:pPr>
      <w:r>
        <w:rPr>
          <w:i/>
          <w:iCs/>
          <w:color w:val="000000" w:themeColor="text1"/>
          <w:sz w:val="26"/>
          <w:szCs w:val="26"/>
          <w:lang w:val="vi"/>
          <w14:textFill>
            <w14:solidFill>
              <w14:schemeClr w14:val="tx1"/>
            </w14:solidFill>
          </w14:textFill>
        </w:rPr>
        <w:t xml:space="preserve">Thứ bảy, </w:t>
      </w:r>
      <w:r>
        <w:rPr>
          <w:color w:val="000000" w:themeColor="text1"/>
          <w:sz w:val="26"/>
          <w:szCs w:val="26"/>
          <w:lang w:val="vi"/>
          <w14:textFill>
            <w14:solidFill>
              <w14:schemeClr w14:val="tx1"/>
            </w14:solidFill>
          </w14:textFill>
        </w:rPr>
        <w:t>về kinh tế biển và kinh tế ven biển, sau hợp nhất, Ninh Bình sở hữu không gian phát triển kinh tế biển rộng lớn với hệ thống bờ biển, vùng cửa sông, cảng biển và các khu vực nuôi trồng thủy sản tập trung thuộc khu vực Nam Định trước đây. Đây là lợi thế quan trọng để phát triển các ngành kinh tế biển có giá trị gia tăng cao như nuôi trồng và chế biến thủy sản công nghệ cao, logistics và dịch vụ cảng biển, năng lượng tái tạo ngoài khơi, công nghiệp hỗ trợ phục vụ kinh tế biển và các mô hình kinh tế tuần hoàn gắn với khai thác bền vững tài nguyên biển.</w:t>
      </w:r>
    </w:p>
    <w:p w14:paraId="108516AC">
      <w:pPr>
        <w:pStyle w:val="4"/>
        <w:rPr>
          <w:color w:val="000000" w:themeColor="text1"/>
          <w:lang w:val="vi"/>
          <w14:textFill>
            <w14:solidFill>
              <w14:schemeClr w14:val="tx1"/>
            </w14:solidFill>
          </w14:textFill>
        </w:rPr>
      </w:pPr>
      <w:bookmarkStart w:id="29" w:name="_Toc233183618"/>
      <w:r>
        <w:rPr>
          <w:color w:val="000000" w:themeColor="text1"/>
          <w14:textFill>
            <w14:solidFill>
              <w14:schemeClr w14:val="tx1"/>
            </w14:solidFill>
          </w14:textFill>
        </w:rPr>
        <w:t>1.6. Những hạn chế và khoảng trống phát triển</w:t>
      </w:r>
      <w:bookmarkEnd w:id="29"/>
    </w:p>
    <w:p w14:paraId="5CC38DA7">
      <w:pPr>
        <w:spacing w:before="120" w:line="312" w:lineRule="auto"/>
        <w:ind w:firstLine="720"/>
        <w:rPr>
          <w:color w:val="000000" w:themeColor="text1"/>
          <w:sz w:val="26"/>
          <w:szCs w:val="26"/>
          <w:lang w:val="vi"/>
          <w14:textFill>
            <w14:solidFill>
              <w14:schemeClr w14:val="tx1"/>
            </w14:solidFill>
          </w14:textFill>
        </w:rPr>
      </w:pPr>
      <w:r>
        <w:rPr>
          <w:color w:val="000000" w:themeColor="text1"/>
          <w:sz w:val="26"/>
          <w:szCs w:val="26"/>
          <w:lang w:val="vi"/>
          <w14:textFill>
            <w14:solidFill>
              <w14:schemeClr w14:val="tx1"/>
            </w14:solidFill>
          </w14:textFill>
        </w:rPr>
        <w:t>Ninh Bình không chỉ là địa phương có tốc độ tăng trưởng nhanh mà đang hội tụ một cấu trúc phát triển đa trục với tiềm năng hình thành các cụm ngành kinh tế có giá trị cao. Tuy nhiên, chính trong bối cảnh hội tụ nhiều tiềm năng đó, các hạn chế mang tính cấu trúc của mô hình phát triển cũng bắt đầu bộc lộ rõ. Tăng trưởng công nghiệp vẫn phụ thuộc đáng kể vào khu vực doanh nghiệp có vốn đầu tư nước ngoài, trong khi năng lực công nghệ và khả năng tham gia chuỗi giá trị của doanh nghiệp trong nước còn hạn chế. Trong lĩnh vực du lịch, việc khai thác tài nguyên vẫn là yếu tố chủ đạo, trong khi mức độ đổi mới sản phẩm, ứng dụng công nghệ và khả năng tạo ra giá trị gia tăng cao chưa tương xứng với tiềm năng. Quan trọng hơn, các trục phát triển kinh tế hiện có vẫn vận hành tương đối tách biệt, chưa được tích hợp hiệu quả để tạo ra sức mạnh tổng thể.</w:t>
      </w:r>
    </w:p>
    <w:p w14:paraId="551E1499">
      <w:pPr>
        <w:spacing w:before="120" w:line="312" w:lineRule="auto"/>
        <w:ind w:firstLine="720"/>
        <w:rPr>
          <w:color w:val="000000" w:themeColor="text1"/>
          <w:sz w:val="26"/>
          <w:szCs w:val="26"/>
          <w:lang w:val="vi"/>
          <w14:textFill>
            <w14:solidFill>
              <w14:schemeClr w14:val="tx1"/>
            </w14:solidFill>
          </w14:textFill>
        </w:rPr>
      </w:pPr>
      <w:r>
        <w:rPr>
          <w:color w:val="000000" w:themeColor="text1"/>
          <w:sz w:val="26"/>
          <w:szCs w:val="26"/>
          <w:lang w:val="vi"/>
          <w14:textFill>
            <w14:solidFill>
              <w14:schemeClr w14:val="tx1"/>
            </w14:solidFill>
          </w14:textFill>
        </w:rPr>
        <w:t>Có thể thấy, Ninh Bình đang hội tụ nhiều điều kiện thuận lợi để hình thành nền tảng phát triển dựa trên khoa học, công nghệ và ĐMST, với các lợi thế nổi bật về công nghiệp, du lịch, nguồn nhân lực, khoa học sự sống và liên kết vùng. Tuy nhiên, các tiềm năng này hiện vẫn chưa được kết nối và khai thác hiệu quả thông qua một hệ sinh thái ĐMST đồng bộ và đủ mạnh. Trong bối cảnh đó, yêu cầu đặt ra đối với tỉnh không chỉ là duy trì đà phát triển hiện có mà quan trọng hơn là tạo ra bước đột phá mới dựa trên việc xây dựng hệ sinh thái ĐMST có khả năng kết nối các nguồn lực, thúc đẩy đổi mới trong từng ngành và hình thành các động lực phát triển mới dựa trên tri thức, công nghệ và liên kết hệ sinh thái.</w:t>
      </w:r>
    </w:p>
    <w:p w14:paraId="7E091A67">
      <w:pPr>
        <w:pStyle w:val="3"/>
        <w:rPr>
          <w:color w:val="000000" w:themeColor="text1"/>
          <w14:textFill>
            <w14:solidFill>
              <w14:schemeClr w14:val="tx1"/>
            </w14:solidFill>
          </w14:textFill>
        </w:rPr>
      </w:pPr>
      <w:bookmarkStart w:id="30" w:name="_Toc233183619"/>
      <w:r>
        <w:rPr>
          <w:color w:val="000000" w:themeColor="text1"/>
          <w14:textFill>
            <w14:solidFill>
              <w14:schemeClr w14:val="tx1"/>
            </w14:solidFill>
          </w14:textFill>
        </w:rPr>
        <w:t>II. THỰC TRẠNG PHÁT TRIỂN CỦA HỆ SINH THÁI ĐMST TỈNH NINH BÌNH</w:t>
      </w:r>
      <w:bookmarkEnd w:id="30"/>
    </w:p>
    <w:p w14:paraId="3E46E60B">
      <w:pPr>
        <w:pStyle w:val="4"/>
        <w:rPr>
          <w:color w:val="000000" w:themeColor="text1"/>
          <w14:textFill>
            <w14:solidFill>
              <w14:schemeClr w14:val="tx1"/>
            </w14:solidFill>
          </w14:textFill>
        </w:rPr>
      </w:pPr>
      <w:bookmarkStart w:id="31" w:name="_Toc233183620"/>
      <w:r>
        <w:rPr>
          <w:color w:val="000000" w:themeColor="text1"/>
          <w14:textFill>
            <w14:solidFill>
              <w14:schemeClr w14:val="tx1"/>
            </w14:solidFill>
          </w14:textFill>
        </w:rPr>
        <w:t xml:space="preserve">2.1. Thực trạng phát triển của hệ sinh thái </w:t>
      </w:r>
      <w:r>
        <w:rPr>
          <w:color w:val="000000" w:themeColor="text1"/>
          <w:lang w:val="vi"/>
          <w14:textFill>
            <w14:solidFill>
              <w14:schemeClr w14:val="tx1"/>
            </w14:solidFill>
          </w14:textFill>
        </w:rPr>
        <w:t>ĐMST</w:t>
      </w:r>
      <w:r>
        <w:rPr>
          <w:color w:val="000000" w:themeColor="text1"/>
          <w14:textFill>
            <w14:solidFill>
              <w14:schemeClr w14:val="tx1"/>
            </w14:solidFill>
          </w14:textFill>
        </w:rPr>
        <w:t xml:space="preserve"> tỉnh Ninh Bình</w:t>
      </w:r>
      <w:bookmarkEnd w:id="31"/>
    </w:p>
    <w:p w14:paraId="40F3FACE">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Sau khi hợp nhất ba tỉnh Hà Nam, Nam Định và Ninh Bình, hệ sinh thái ĐMST của tỉnh Ninh Bình bước đầu đã hình thành các cấu phần cơ bản gồm cơ quan quản lý nhà nước, tổ chức khoa học và công nghệ, cơ sở giáo dục – đào tạo, doanh nghiệp, các tổ chức hỗ trợ và các chương trình thúc đẩy khởi nghiệp sáng tạo. Tỉnh đã thực hiện kiện toàn bộ máy quản lý nhà nước về khoa học công nghệ và chuyển đổi số thông qua việc tổ chức lại Sở Khoa học và Công nghệ theo hướng tích hợp chức năng khoa học công nghệ, công nghệ thông tin và chuyển đổi số; đồng thời thành lập Ban Quản lý Khu kinh tế và các khu công nghiệp nhằm tăng cường điều phối phát triển công nghiệp, công nghệ và thu hút đầu tư.</w:t>
      </w:r>
    </w:p>
    <w:p w14:paraId="6AE97D43">
      <w:pPr>
        <w:numPr>
          <w:ilvl w:val="0"/>
          <w:numId w:val="3"/>
        </w:num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Kết quả phát triển khoa học, công nghệ và ĐMST</w:t>
      </w:r>
    </w:p>
    <w:p w14:paraId="1A7757AC">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Đến năm 2025, tỉnh đang quản lý và triển khai 111 nhiệm vụ khoa học và công nghệ, trong đó có 96 nhiệm vụ cấp tỉnh, 7 nhiệm vụ thuộc Chương trình nông thôn miền núi do Bộ Khoa học và Công nghệ quản lý, 6 nhiệm vụ cấp quốc gia được ủy quyền quản lý và 1 nhiệm vụ cấp Nhà nước. Các nhiệm vụ tập trung vào nhiều lĩnh vực như nông nghiệp (52 nhiệm vụ), sở hữu trí tuệ (9 nhiệm vụ), công nghiệp hóa – hiện đại hóa (13 nhiệm vụ), sinh học – dược liệu – y tế (13 nhiệm vụ), bảo tồn nguồn gen (5 nhiệm vụ) và các lĩnh vực văn hóa, lịch sử, xã hội (16 nhiệm vụ).</w:t>
      </w:r>
    </w:p>
    <w:p w14:paraId="6F6B1D5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Hoạt động thẩm định và chuyển giao công nghệ có bước phát triển tích cực. Trong năm 2025, cơ quan quản lý nhà nước đã tham gia thẩm định công nghệ cho 289 dự án đầu tư; cấp 2 giấy chứng nhận đăng ký chuyển giao công nghệ và 1 giấy chứng nhận gia hạn, điều chỉnh nội dung chuyển giao công nghệ cho doanh nghiệp. Sàn giao dịch công nghệ và thiết bị trực tuyến của tỉnh tiếp tục được vận hành với 23 doanh nghiệp và 234 sản phẩm công nghệ tham gia.</w:t>
      </w:r>
    </w:p>
    <w:p w14:paraId="7B51E48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Hệ thống tổ chức khoa học và công nghệ từng bước được mở rộng. Toàn tỉnh hiện có 49 tổ chức khoa học và công nghệ đang hoạt động, trong đó có 13 tổ chức công lập và 36 tổ chức ngoài công lập. Số doanh nghiệp khoa học và công nghệ đạt 21 doanh nghiệp, vượt mục tiêu theo Nghị quyết số 57-NQ/TW và Nghị quyết số 71/NQ-CP.</w:t>
      </w:r>
    </w:p>
    <w:p w14:paraId="0FB9F3C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Hoạt động thúc đẩy ĐMST và khởi nghiệp sáng tạo được triển khai thông qua nhiều chương trình truyền thông, cuộc thi và hoạt động kết nối. Tỉnh đã tổ chức Triển lãm Đổi mới sáng tạo Ninh Bình với chủ đề “Kết nối tri thức – Phát triển bền vững”; hỗ trợ tổ chức Cuộc thi NASA Space Apps Challenge với 436 người tham gia, xếp thứ 42 trong hơn 400 địa điểm trên thế giới và đứng thứ hai Đông Nam Á; tổ chức nhiều hội thảo hỗ trợ doanh nghiệp đổi mới mô hình kinh doanh, phát triển sản phẩm và kết nối chuyên gia tư vấn cho doanh nghiệp khởi nghiệp sáng tạo. Đồng thời, tỉnh đã thúc đẩy kết nối giữa cơ quan quản lý nhà nước, doanh nghiệp và các cơ sở giáo dục đào tạo nhằm triển khai các mục tiêu của Nghị quyết số 57-NQ/TW.</w:t>
      </w:r>
    </w:p>
    <w:p w14:paraId="6BC9EB30">
      <w:pPr>
        <w:numPr>
          <w:ilvl w:val="0"/>
          <w:numId w:val="3"/>
        </w:num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Đánh giá hệ sinh thái ĐMST thông qua Chỉ số Đổi mới sáng tạo cấp địa phương (PII)</w:t>
      </w:r>
    </w:p>
    <w:p w14:paraId="3C507EBC">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Năm 2025, Ninh Bình đạt thứ hạng 14/34 tỉnh, thành phố theo Chỉ số Đổi mới sáng tạo cấp địa phương (PII), vượt mục tiêu đặt ra tại Nghị quyết số 57-NQ/TW. Kết quả này cho thấy tỉnh đã hình thành nền tảng tương đối tốt cho phát triển ĐMST, đặc biệt ở các yếu tố thể chế, môi trường đầu tư và tác động kinh tế - xã hội.</w:t>
      </w:r>
    </w:p>
    <w:p w14:paraId="771AB42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Trong các trụ cột của PII, Thể chế là lĩnh vực có kết quả nổi bật nhất với 60,61 điểm, xếp thứ 9 toàn quốc. Đặc biệt, chỉ số về chính sách thúc đẩy khoa học công nghệ và ĐMST phục vụ phát triển kinh tế - xã hội đạt 90,37 điểm, xếp thứ 6 cả nước. Trụ cột Tác động đạt 56,71 điểm, xếp thứ 10, phản ánh hiệu quả lan tỏa của các yếu tố đầu vào ĐMST đối với tăng trưởng kinh tế, xuất khẩu và thu nhập người dân. Các trụ cột Cơ sở hạ tầng, Trình độ phát triển thị trường và Trình độ phát triển doanh nghiệp đều nằm trong nhóm trung bình khá của cả nước, lần lượt xếp thứ 12, 12 và 14.</w:t>
      </w:r>
    </w:p>
    <w:p w14:paraId="567E55C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Tuy nhiên, điểm nghẽn lớn nhất của hệ sinh thái ĐMST tỉnh nằm ở năng lực nghiên cứu, phát triển và tạo ra sản phẩm tri thức mới. Trụ cột Vốn con người và nghiên cứu phát triển chỉ đạt 34,37 điểm, xếp thứ 16; trong đó nhóm chỉ số nghiên cứu và phát triển (R&amp;D) đứng thứ 28 cả nước. Đặc biệt, chỉ số chi cho nghiên cứu khoa học và phát triển công nghệ trên GRDP chỉ đạt 1,69 điểm, xếp thứ 31. Trụ cột Sản phẩm tri thức, sáng tạo và công nghệ đạt 18,99 điểm, xếp thứ 30 cả nước, phản ánh số lượng sáng chế, chỉ dẫn địa lý, nhãn hiệu tập thể và các kết quả đổi mới sáng tạo còn hạn chế.</w:t>
      </w:r>
    </w:p>
    <w:p w14:paraId="47AD4E5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Theo kết quả đánh giá của các chỉ số PII, Ninh Bình có 5 điểm mạnh nổi bật gồm: chất lượng giáo dục phổ thông cao (điểm trung bình thi tốt nghiệp THPT xếp thứ 2 toàn quốc), giá trị xuất khẩu trên GRDP (xếp thứ 6), mật độ dự án đầu tư trong các cụm công nghiệp (xếp thứ 6), chính sách thúc đẩy khoa học công nghệ và ĐMST (xếp thứ 6) và thu nhập bình quân đầu người (xếp thứ 6).</w:t>
      </w:r>
    </w:p>
    <w:p w14:paraId="5EA34F66">
      <w:pPr>
        <w:numPr>
          <w:ilvl w:val="0"/>
          <w:numId w:val="3"/>
        </w:num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Hạn chế</w:t>
      </w:r>
    </w:p>
    <w:p w14:paraId="3A29D632">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Mặc dù sở hữu nhiều tiềm năng phát triển, hệ sinh thái ĐMST của tỉnh hiện vẫn đang trong giai đoạn hình thành và bộc lộ nhiều hạn chế mang tính cấu trúc.</w:t>
      </w:r>
    </w:p>
    <w:p w14:paraId="720B0358">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nhất</w:t>
      </w:r>
      <w:r>
        <w:rPr>
          <w:color w:val="000000" w:themeColor="text1"/>
          <w:sz w:val="26"/>
          <w:szCs w:val="26"/>
          <w:lang w:val="vi-VN"/>
          <w14:textFill>
            <w14:solidFill>
              <w14:schemeClr w14:val="tx1"/>
            </w14:solidFill>
          </w14:textFill>
        </w:rPr>
        <w:t>, tỉnh còn thiếu các tổ chức trung gian chuyên nghiệp như trung tâm ĐMST, vườn ươm công nghệ, tổ chức thúc đẩy kinh doanh, tổ chức hỗ trợ chuyển giao công nghệ và các không gian ĐMST mở. Hoạt động hỗ trợ khởi nghiệp sáng tạo hiện còn phân tán, quy mô nhỏ và thiếu tính hệ thống; chưa có thiết chế đóng vai trò hạt nhân điều phối, kết nối và dẫn dắt toàn bộ hệ sinh thái ĐMST của tỉnh.</w:t>
      </w:r>
    </w:p>
    <w:p w14:paraId="2B8C363D">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hai,</w:t>
      </w:r>
      <w:r>
        <w:rPr>
          <w:color w:val="000000" w:themeColor="text1"/>
          <w:sz w:val="26"/>
          <w:szCs w:val="26"/>
          <w:lang w:val="vi-VN"/>
          <w14:textFill>
            <w14:solidFill>
              <w14:schemeClr w14:val="tx1"/>
            </w14:solidFill>
          </w14:textFill>
        </w:rPr>
        <w:t xml:space="preserve"> sự liên kết giữa các thành phần trong hệ sinh thái còn hạn chế. Mối liên kết giữa doanh nghiệp FDI lớn với doanh nghiệp địa phương, startup và các cơ sở đào tạo – nghiên cứu còn lỏng lẻo; chưa hình thành được cơ chế hợp tác và lan tỏa công nghệ một cách có hệ thống. Các tập đoàn lớn như Quanta, Wistron hay Qisda hiện chủ yếu hoạt động theo chuỗi cung ứng riêng, trong khi khả năng tham gia của doanh nghiệp địa phương vào chuỗi giá trị công nghệ còn hạn chế.</w:t>
      </w:r>
    </w:p>
    <w:p w14:paraId="3D0991F6">
      <w:pPr>
        <w:spacing w:before="120" w:line="312" w:lineRule="auto"/>
        <w:ind w:firstLine="720"/>
        <w:rPr>
          <w:color w:val="000000" w:themeColor="text1"/>
          <w:spacing w:val="-8"/>
          <w:sz w:val="26"/>
          <w:szCs w:val="26"/>
          <w:lang w:val="vi-VN"/>
          <w14:textFill>
            <w14:solidFill>
              <w14:schemeClr w14:val="tx1"/>
            </w14:solidFill>
          </w14:textFill>
        </w:rPr>
      </w:pPr>
      <w:r>
        <w:rPr>
          <w:i/>
          <w:iCs/>
          <w:color w:val="000000" w:themeColor="text1"/>
          <w:spacing w:val="-8"/>
          <w:sz w:val="26"/>
          <w:szCs w:val="26"/>
          <w:lang w:val="vi-VN"/>
          <w14:textFill>
            <w14:solidFill>
              <w14:schemeClr w14:val="tx1"/>
            </w14:solidFill>
          </w14:textFill>
        </w:rPr>
        <w:t>Thứ ba,</w:t>
      </w:r>
      <w:r>
        <w:rPr>
          <w:color w:val="000000" w:themeColor="text1"/>
          <w:spacing w:val="-8"/>
          <w:sz w:val="26"/>
          <w:szCs w:val="26"/>
          <w:lang w:val="vi-VN"/>
          <w14:textFill>
            <w14:solidFill>
              <w14:schemeClr w14:val="tx1"/>
            </w14:solidFill>
          </w14:textFill>
        </w:rPr>
        <w:t xml:space="preserve"> nguồn lực tài chính cho ĐMST và KNST còn thiếu. Tỉnh còn thiếu các cơ chế tài chính chuyên biệt cho ĐMST như quỹ hỗ trợ, cơ chế đồng đầu tư, mạng lưới nhà đầu tư thiên thần hoặc chương trình kết nối vốn cho startup..</w:t>
      </w:r>
    </w:p>
    <w:p w14:paraId="33314F01">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tư,</w:t>
      </w:r>
      <w:r>
        <w:rPr>
          <w:color w:val="000000" w:themeColor="text1"/>
          <w:sz w:val="26"/>
          <w:szCs w:val="26"/>
          <w:lang w:val="vi-VN"/>
          <w14:textFill>
            <w14:solidFill>
              <w14:schemeClr w14:val="tx1"/>
            </w14:solidFill>
          </w14:textFill>
        </w:rPr>
        <w:t xml:space="preserve"> hoạt động nghiên cứu – phát triển và thương mại hóa công nghệ còn yếu. Tỷ lệ thương mại hóa kết quả nghiên cứu từ các trường đại học và cơ sở nghiên cứu trên địa bàn còn thấp; khoảng cách giữa nghiên cứu hàn lâm và nhu cầu thực tiễn của doanh nghiệp chưa được kết nối hiệu quả thông qua các tổ chức trung gian và cơ chế chuyển giao công nghệ phù hợp.</w:t>
      </w:r>
    </w:p>
    <w:p w14:paraId="05B09B87">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 xml:space="preserve">Thứ năm, </w:t>
      </w:r>
      <w:r>
        <w:rPr>
          <w:color w:val="000000" w:themeColor="text1"/>
          <w:sz w:val="26"/>
          <w:szCs w:val="26"/>
          <w:lang w:val="vi-VN"/>
          <w14:textFill>
            <w14:solidFill>
              <w14:schemeClr w14:val="tx1"/>
            </w14:solidFill>
          </w14:textFill>
        </w:rPr>
        <w:t>nguồn nhân lực chất lượng cao trong lĩnh vực công nghệ và ĐMST còn thiếu và có xu hướng dịch chuyển về các đô thị lớn. Hà Nội và Thành phố Hồ Chí Minh hiện vẫn là nơi tập trung phần lớn doanh nghiệp công nghệ, quỹ đầu tư, tổ chức hỗ trợ và cơ hội nghề nghiệp trong lĩnh vực ĐMST, tạo sức ép lớn cho Ninh Bình trong việc thu hút và giữ chân nhân tài, startup và doanh nghiệp công nghệ.</w:t>
      </w:r>
    </w:p>
    <w:p w14:paraId="634B4C6D">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sáu,</w:t>
      </w:r>
      <w:r>
        <w:rPr>
          <w:color w:val="000000" w:themeColor="text1"/>
          <w:sz w:val="26"/>
          <w:szCs w:val="26"/>
          <w:lang w:val="vi-VN"/>
          <w14:textFill>
            <w14:solidFill>
              <w14:schemeClr w14:val="tx1"/>
            </w14:solidFill>
          </w14:textFill>
        </w:rPr>
        <w:t xml:space="preserve"> văn hóa khởi nghiệp sáng tạo và tinh thần ĐMST trong cộng đồng doanh nghiệp và người dân chưa được hình thành rõ nét. Tỉnh còn thiếu các sự kiện, diễn đàn, cộng đồng và nền tảng truyền thông chuyên biệt để lan tỏa tư duy ĐMST, kết nối doanh nghiệp, chuyên gia, nhà đầu tư và các chủ thể trong hệ sinh thái.</w:t>
      </w:r>
    </w:p>
    <w:p w14:paraId="5ABFEF40">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bảy,</w:t>
      </w:r>
      <w:r>
        <w:rPr>
          <w:color w:val="000000" w:themeColor="text1"/>
          <w:sz w:val="26"/>
          <w:szCs w:val="26"/>
          <w:lang w:val="vi-VN"/>
          <w14:textFill>
            <w14:solidFill>
              <w14:schemeClr w14:val="tx1"/>
            </w14:solidFill>
          </w14:textFill>
        </w:rPr>
        <w:t xml:space="preserve"> tỉnh chưa có nền tảng số điều hành hệ sinh thái ĐMST và cơ sở dữ liệu dùng chung về doanh nghiệp KNST, startup, quỹ đầu tư, chuyên gia, công nghệ và cơ hội hợp tác. Việc thiếu dữ liệu tổng hợp và cơ chế chia sẻ thông tin đang là một trong những điểm nghẽn lớn ảnh hưởng đến hiệu quả quản trị, kết nối và hoạch định chính sách phát triển hệ sinh thái ĐMST.</w:t>
      </w:r>
    </w:p>
    <w:p w14:paraId="104A5B8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Bên cạnh đó, sau sáp nhập, tỉnh cũng đang đối mặt với yêu cầu phải tích hợp các hệ thống dữ liệu, cơ chế quản lý và chương trình hỗ trợ ĐMST vốn được triển khai riêng lẻ tại ba địa phương trước đây. Việc xây dựng cơ chế điều phối thống nhất, phát triển cơ sở dữ liệu dùng chung và hình thành định hướng phát triển hệ sinh thái ĐMST ở quy mô toàn tỉnh là yêu cầu quan trọng trong giai đoạn tới.</w:t>
      </w:r>
    </w:p>
    <w:p w14:paraId="0FA6AF8D">
      <w:pPr>
        <w:numPr>
          <w:ilvl w:val="0"/>
          <w:numId w:val="3"/>
        </w:num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Nhận định tổng thể</w:t>
      </w:r>
    </w:p>
    <w:p w14:paraId="08A975B7">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Có thể nhận định rằng hệ sinh thái ĐMST của tỉnh Ninh Bình hiện đang ở giai đoạn hình thành và phát triển ban đầu. Tỉnh đã tạo dựng được những nền tảng quan trọng về thể chế, môi trường đầu tư, hạ tầng kinh tế và nguồn nhân lực; đồng thời đạt được một số kết quả tích cực trong triển khai hoạt động khoa học công nghệ và đổi mới sáng tạo. Tuy nhiên, các yếu tố cốt lõi của hệ sinh thái như năng lực nghiên cứu và phát triển, doanh nghiệp công nghệ, hệ sinh thái khởi nghiệp sáng tạo, các tổ chức trung gian hỗ trợ ĐMST và cơ chế liên kết giữa các chủ thể vẫn còn hạn chế.</w:t>
      </w:r>
    </w:p>
    <w:p w14:paraId="6815978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Trong giai đoạn tới, thách thức lớn nhất không còn là xây dựng các cấu phần riêng lẻ của hệ sinh thái mà là tạo lập cơ chế kết nối và phối hợp hiệu quả giữa doanh nghiệp, cơ sở đào tạo, tổ chức khoa học công nghệ, nhà đầu tư và cơ quan quản lý nhà nước; qua đó chuyển hóa các lợi thế về công nghiệp, du lịch, logistics, giáo dục và vị trí liên kết vùng thành các động lực phát triển mới dựa trên khoa học, công nghệ và ĐMST.</w:t>
      </w:r>
    </w:p>
    <w:p w14:paraId="1F6278F9">
      <w:pPr>
        <w:pStyle w:val="4"/>
        <w:rPr>
          <w:color w:val="000000" w:themeColor="text1"/>
          <w14:textFill>
            <w14:solidFill>
              <w14:schemeClr w14:val="tx1"/>
            </w14:solidFill>
          </w14:textFill>
        </w:rPr>
      </w:pPr>
      <w:bookmarkStart w:id="32" w:name="_Toc233183621"/>
      <w:r>
        <w:rPr>
          <w:color w:val="000000" w:themeColor="text1"/>
          <w14:textFill>
            <w14:solidFill>
              <w14:schemeClr w14:val="tx1"/>
            </w14:solidFill>
          </w14:textFill>
        </w:rPr>
        <w:t>2.2. Kết quả khảo sát doanh nghiệp và hợp tác xã về hoạt động ĐMST</w:t>
      </w:r>
      <w:bookmarkEnd w:id="32"/>
    </w:p>
    <w:p w14:paraId="1FC7B004">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Để kiểm định thực trạng hệ sinh thái ĐMST trên địa bàn tỉnh Ninh Bình, nhóm nghiên cứu đã tiến hành khảo sát 362 doanh nghiệp và hợp tác xã (HTX) thuộc nhiều lĩnh vực kinh tế khác nhau. Trong cơ cấu mẫu khảo sát, HTX chiếm 74,2% và doanh nghiệp chiếm 25,8%, phản ánh khá sát thực trạng khu vực kinh tế của tỉnh, nơi các HTX và doanh nghiệp nhỏ đang đóng vai trò quan trọng trong phát triển kinh tế địa phương. Do tỷ trọng HTX trong mẫu khảo sát khá lớn, kết quả phản ánh rõ nhu cầu của khu vực kinh tế cơ sở, doanh nghiệp nhỏ và HTX; khi áp dụng cho nhóm doanh nghiệp công nghiệp, cần có khảo sát chuyên sâu bổ sung.</w:t>
      </w:r>
    </w:p>
    <w:p w14:paraId="4AB84ED6">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Kết quả khảo sát cung cấp những bằng chứng thực tiễn quan trọng về mức độ ĐMST, những khó khăn doanh nghiệp đang gặp phải, mức độ đáp ứng của các thành phần trong hệ sinh thái cũng như nhu cầu hỗ trợ trong giai đoạn tới.</w:t>
      </w:r>
    </w:p>
    <w:p w14:paraId="1BB5493A">
      <w:pPr>
        <w:pStyle w:val="5"/>
        <w:rPr>
          <w:color w:val="000000" w:themeColor="text1"/>
          <w14:textFill>
            <w14:solidFill>
              <w14:schemeClr w14:val="tx1"/>
            </w14:solidFill>
          </w14:textFill>
        </w:rPr>
      </w:pPr>
      <w:bookmarkStart w:id="33" w:name="_Toc233183622"/>
      <w:r>
        <w:rPr>
          <w:color w:val="000000" w:themeColor="text1"/>
          <w14:textFill>
            <w14:solidFill>
              <w14:schemeClr w14:val="tx1"/>
            </w14:solidFill>
          </w14:textFill>
        </w:rPr>
        <w:t>2.2.1. Thực trạng hoạt động ĐMST của doanh nghiệp</w:t>
      </w:r>
      <w:bookmarkEnd w:id="33"/>
    </w:p>
    <w:p w14:paraId="14C6F59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Kết quả khảo sát cho thấy hoạt động ĐMST đã được triển khai tương đối rộng rãi trong cộng đồng doanh nghiệp và HTX, tuy nhiên chủ yếu vẫn ở quy mô nhỏ và tập trung vào các hoạt động cải tiến, ứng dụng công nghệ và nâng cao hiệu quả sản xuất kinh doanh.</w:t>
      </w:r>
    </w:p>
    <w:p w14:paraId="2FC93CB6">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Quy mô trung bình của các đơn vị khảo sát còn tương đối nhỏ, với khoảng 15,3 lao động/đơn vị và giá trị trung vị chỉ đạt 11 lao động. Nguồn nhân lực có trình độ cao đẳng, đại học trở lên trung bình đạt 5,66 người/đơn vị, trung vị 4 người, cho thấy năng lực nghiên cứu, tiếp nhận và làm chủ công nghệ của nhiều đơn vị còn hạn chế.</w:t>
      </w:r>
    </w:p>
    <w:p w14:paraId="562AE03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Mặc dù vậy, ĐMST đã bắt đầu tạo ra những đóng góp nhất định đối với hoạt động sản xuất kinh doanh. Doanh thu từ các sản phẩm, dịch vụ mới hoặc được cải tiến chiếm trung bình khoảng 24,1% tổng doanh thu của các đơn vị khảo sát. Điều này cho thấy ĐMST đã trở thành một nguồn tạo giá trị quan trọng, mặc dù chưa phải là động lực tăng trưởng chủ đạo của phần lớn doanh nghiệp và HTX.</w:t>
      </w:r>
    </w:p>
    <w:p w14:paraId="45E79BF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Về nguồn lực đầu tư cho ĐMST, chi phí bình quân dành cho các hoạt động ĐMST đạt khoảng 729 triệu đồng/đơn vị; tuy nhiên giá trị trung vị chỉ ở mức 163 triệu đồng, phản ánh sự chênh lệch đáng kể giữa một số đơn vị đầu tư lớn với phần đông doanh nghiệp và HTX có nguồn lực hạn chế. Thời gian triển khai một hoạt động ĐMST trung bình khoảng 9,23 tháng, cho thấy các doanh nghiệp đã bắt đầu dành nguồn lực tương đối đáng kể cho quá trình đổi mới.</w:t>
      </w:r>
    </w:p>
    <w:p w14:paraId="6157C067">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Các hoạt động ĐMST phổ biến nhất hiện nay gồm tự nghiên cứu giải pháp mới (47,0%), thuê chuyên gia hoặc tổ chức tư vấn hỗ trợ (45,5%) và cử cán bộ tham gia các khóa đào tạo, bồi dưỡng nâng cao năng lực (45,5%). Điều này cho thấy ĐMST tại Ninh Bình vẫn chủ yếu dựa trên nỗ lực nội sinh của doanh nghiệp thay vì dựa trên các mạng lưới hợp tác đổi mới sáng tạo.</w:t>
      </w:r>
    </w:p>
    <w:p w14:paraId="7E7D0F8C">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Về ứng dụng công nghệ, trí tuệ nhân tạo (AI) AI là nhóm công nghệ được quan tâm/đề cập nhiều nhất, với tỷ lệ 59,1% trong nhóm doanh nghiệp có triển khai các công nghệ mới. Xu hướng này phản ánh sự quan tâm ngày càng tăng của doanh nghiệp đối với chuyển đổi số và các công nghệ của cuộc Cách mạng công nghiệp lần thứ tư.</w:t>
      </w:r>
    </w:p>
    <w:p w14:paraId="1ECA6FCA">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Đánh giá về kết quả ĐMST cho thấy tác động rõ nét nhất là nâng cao năng suất lao động, giảm chi phí sản xuất và cải thiện hiệu quả vận hành. Chỉ tiêu này đạt điểm trung bình 3,38/5; có 54,2% số đơn vị đánh giá tác động ở mức tích cực hoặc rất tích cực. Trong khi đó, tác động đến tăng doanh thu, mở rộng thị phần và nâng cao năng lực cạnh tranh tuy đã xuất hiện nhưng chưa thực sự rõ nét, với điểm trung bình 3,22/5 và tỷ lệ đánh giá tích cực hoặc rất tích cực đạt 44,6%.</w:t>
      </w:r>
    </w:p>
    <w:p w14:paraId="572F4A82">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Bên cạnh hiệu quả kinh tế, nhiều doanh nghiệp cũng ghi nhận các lợi ích về môi trường từ hoạt động ĐMST. Các kết quả nổi bật bao gồm giảm ô nhiễm môi trường (44,2%), sử dụng năng lượng tái tạo (39,5%) và tăng cường sử dụng vật liệu tái chế (37,3%). Điều này cho thấy xu hướng đổi mới sáng tạo xanh và phát triển bền vững đang dần được quan tâm trong cộng đồng doanh nghiệp địa phương.</w:t>
      </w:r>
    </w:p>
    <w:p w14:paraId="4C4A4AEC">
      <w:pPr>
        <w:pStyle w:val="5"/>
        <w:rPr>
          <w:rFonts w:hint="default"/>
          <w:color w:val="000000" w:themeColor="text1"/>
          <w:lang w:val="en-GB"/>
          <w14:textFill>
            <w14:solidFill>
              <w14:schemeClr w14:val="tx1"/>
            </w14:solidFill>
          </w14:textFill>
        </w:rPr>
      </w:pPr>
      <w:bookmarkStart w:id="34" w:name="_Toc233183623"/>
      <w:r>
        <w:rPr>
          <w:color w:val="000000" w:themeColor="text1"/>
          <w14:textFill>
            <w14:solidFill>
              <w14:schemeClr w14:val="tx1"/>
            </w14:solidFill>
          </w14:textFill>
        </w:rPr>
        <w:t xml:space="preserve">2.2.2. Những rào cản đối với </w:t>
      </w:r>
      <w:bookmarkEnd w:id="34"/>
      <w:r>
        <w:rPr>
          <w:color w:val="000000" w:themeColor="text1"/>
          <w:lang w:val="en-GB"/>
          <w14:textFill>
            <w14:solidFill>
              <w14:schemeClr w14:val="tx1"/>
            </w14:solidFill>
          </w14:textFill>
        </w:rPr>
        <w:t>Đ</w:t>
      </w:r>
      <w:r>
        <w:rPr>
          <w:rFonts w:hint="default"/>
          <w:color w:val="000000" w:themeColor="text1"/>
          <w:lang w:val="en-GB"/>
          <w14:textFill>
            <w14:solidFill>
              <w14:schemeClr w14:val="tx1"/>
            </w14:solidFill>
          </w14:textFill>
        </w:rPr>
        <w:t>MST</w:t>
      </w:r>
    </w:p>
    <w:p w14:paraId="5929169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Mặc dù nhận thức được vai trò của ĐMST đối với nâng cao năng lực cạnh tranh, phần lớn doanh nghiệp và HTX vẫn gặp nhiều khó khăn trong quá trình triển khai.</w:t>
      </w:r>
    </w:p>
    <w:p w14:paraId="1853F340">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Rào cản lớn nhất được ghi nhận là rủi ro thất bại của các hoạt động ĐMST, với 53,9% đơn vị khảo sát lựa chọn. Điều này cho thấy tâm lý e ngại rủi ro vẫn là một yếu tố cản trở đáng kể đối với quyết định đầu tư cho nghiên cứu, phát triển và thử nghiệm công nghệ mới.</w:t>
      </w:r>
    </w:p>
    <w:p w14:paraId="67A79CAA">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Khó khăn lớn thứ hai là khả năng tiếp cận nguồn vốn cho ĐMST. Có tới 49,9% đơn vị cho rằng việc huy động nguồn lực tài chính là rào cản quan trọng nhất đối với hoạt động ĐMST. Đối với phần lớn doanh nghiệp nhỏ và HTX, việc tiếp cận các nguồn vốn dài hạn, vốn ưu đãi hoặc vốn đầu tư mạo hiểm vẫn còn nhiều khó khăn.</w:t>
      </w:r>
    </w:p>
    <w:p w14:paraId="24320B5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Thiếu hụt nguồn nhân lực chất lượng cao là rào cản lớn thứ ba với 45,8% đơn vị phản ánh. Thực trạng này phù hợp với kết quả khảo sát về quy mô và chất lượng nguồn nhân lực, khi phần lớn doanh nghiệp và HTX chưa có đội ngũ chuyên gia hoặc cán bộ kỹ thuật đủ năng lực triển khai các hoạt động nghiên cứu và phát triển công nghệ.</w:t>
      </w:r>
    </w:p>
    <w:p w14:paraId="2EEAADF3">
      <w:pPr>
        <w:spacing w:before="120" w:line="312" w:lineRule="auto"/>
        <w:jc w:val="center"/>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Hình 1. Rào cản đối với hoạt động ĐMST của doanh nghiệp và HTX</w:t>
      </w:r>
    </w:p>
    <w:p w14:paraId="7C2021D5">
      <w:pPr>
        <w:spacing w:before="120" w:line="312" w:lineRule="auto"/>
        <w:jc w:val="center"/>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drawing>
          <wp:inline distT="0" distB="0" distL="0" distR="0">
            <wp:extent cx="5516880" cy="2293620"/>
            <wp:effectExtent l="0" t="0" r="7620" b="0"/>
            <wp:docPr id="1390666410" name="Picture 1" descr="A graph with blue and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66410" name="Picture 1" descr="A graph with blue and red bars&#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t="16621"/>
                    <a:stretch>
                      <a:fillRect/>
                    </a:stretch>
                  </pic:blipFill>
                  <pic:spPr>
                    <a:xfrm>
                      <a:off x="0" y="0"/>
                      <a:ext cx="5526741" cy="2297645"/>
                    </a:xfrm>
                    <a:prstGeom prst="rect">
                      <a:avLst/>
                    </a:prstGeom>
                    <a:ln>
                      <a:noFill/>
                    </a:ln>
                  </pic:spPr>
                </pic:pic>
              </a:graphicData>
            </a:graphic>
          </wp:inline>
        </w:drawing>
      </w:r>
    </w:p>
    <w:p w14:paraId="77BEF16B">
      <w:pPr>
        <w:spacing w:before="120" w:line="312" w:lineRule="auto"/>
        <w:ind w:firstLine="720"/>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t xml:space="preserve">Ngoài ra, doanh nghiệp còn gặp khó khăn trong việc tiếp cận công nghệ mới, thiếu thông tin thị trường, thiếu chuyên gia tư vấn và thiếu các tổ chức trung gian hỗ trợ đổi mới sáng tạo. Các kết quả này cho thấy những hạn chế hiện nay không chỉ nằm ở nguồn vốn mà còn liên quan đến năng lực hấp thụ công nghệ và chất lượng của các thành phần trong hệ sinh thái </w:t>
      </w:r>
      <w:r>
        <w:rPr>
          <w:color w:val="000000" w:themeColor="text1"/>
          <w:sz w:val="26"/>
          <w:szCs w:val="26"/>
          <w:lang w:val="en-GB"/>
          <w14:textFill>
            <w14:solidFill>
              <w14:schemeClr w14:val="tx1"/>
            </w14:solidFill>
          </w14:textFill>
        </w:rPr>
        <w:t>ĐMST</w:t>
      </w:r>
      <w:r>
        <w:rPr>
          <w:color w:val="000000" w:themeColor="text1"/>
          <w:sz w:val="26"/>
          <w:szCs w:val="26"/>
          <w:lang w:val="en-US"/>
          <w14:textFill>
            <w14:solidFill>
              <w14:schemeClr w14:val="tx1"/>
            </w14:solidFill>
          </w14:textFill>
        </w:rPr>
        <w:t>.</w:t>
      </w:r>
    </w:p>
    <w:p w14:paraId="73409E9D">
      <w:pPr>
        <w:pStyle w:val="5"/>
        <w:rPr>
          <w:color w:val="000000" w:themeColor="text1"/>
          <w:lang w:val="en-GB"/>
          <w14:textFill>
            <w14:solidFill>
              <w14:schemeClr w14:val="tx1"/>
            </w14:solidFill>
          </w14:textFill>
        </w:rPr>
      </w:pPr>
      <w:bookmarkStart w:id="35" w:name="_Toc233183624"/>
      <w:r>
        <w:rPr>
          <w:color w:val="000000" w:themeColor="text1"/>
          <w14:textFill>
            <w14:solidFill>
              <w14:schemeClr w14:val="tx1"/>
            </w14:solidFill>
          </w14:textFill>
        </w:rPr>
        <w:t xml:space="preserve">2.2.3. Đánh giá các thành phần của hệ sinh thái </w:t>
      </w:r>
      <w:r>
        <w:rPr>
          <w:color w:val="000000" w:themeColor="text1"/>
          <w:lang w:val="en-GB"/>
          <w14:textFill>
            <w14:solidFill>
              <w14:schemeClr w14:val="tx1"/>
            </w14:solidFill>
          </w14:textFill>
        </w:rPr>
        <w:t>ĐMST</w:t>
      </w:r>
      <w:bookmarkEnd w:id="35"/>
    </w:p>
    <w:p w14:paraId="1111D9E9">
      <w:pPr>
        <w:spacing w:before="120" w:line="312" w:lineRule="auto"/>
        <w:ind w:firstLine="720"/>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t xml:space="preserve">Kết quả khảo sát cho thấy các doanh nghiệp và HTX đánh giá hệ sinh thái </w:t>
      </w:r>
      <w:r>
        <w:rPr>
          <w:color w:val="000000" w:themeColor="text1"/>
          <w:sz w:val="26"/>
          <w:szCs w:val="26"/>
          <w:lang w:val="en-GB"/>
          <w14:textFill>
            <w14:solidFill>
              <w14:schemeClr w14:val="tx1"/>
            </w14:solidFill>
          </w14:textFill>
        </w:rPr>
        <w:t>ĐMST</w:t>
      </w:r>
      <w:r>
        <w:rPr>
          <w:color w:val="000000" w:themeColor="text1"/>
          <w:sz w:val="26"/>
          <w:szCs w:val="26"/>
          <w:lang w:val="vi-VN"/>
          <w14:textFill>
            <w14:solidFill>
              <w14:schemeClr w14:val="tx1"/>
            </w14:solidFill>
          </w14:textFill>
        </w:rPr>
        <w:t xml:space="preserve"> </w:t>
      </w:r>
      <w:r>
        <w:rPr>
          <w:color w:val="000000" w:themeColor="text1"/>
          <w:sz w:val="26"/>
          <w:szCs w:val="26"/>
          <w:lang w:val="en-US"/>
          <w14:textFill>
            <w14:solidFill>
              <w14:schemeClr w14:val="tx1"/>
            </w14:solidFill>
          </w14:textFill>
        </w:rPr>
        <w:t>của tỉnh đã bước đầu hình thành nhưng vẫn còn thiếu nhiều thành phần hỗ trợ quan trọng.</w:t>
      </w:r>
    </w:p>
    <w:p w14:paraId="74E17045">
      <w:pPr>
        <w:spacing w:before="120" w:line="312" w:lineRule="auto"/>
        <w:ind w:firstLine="720"/>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t xml:space="preserve">Một điểm tích cực là mức độ tiếp cận các chính sách hỗ trợ của Nhà nước tương đối cao. Có tới 86,4% đơn vị khảo sát cho biết đã từng tiếp cận ít nhất một hình thức hỗ trợ liên quan đến </w:t>
      </w:r>
      <w:r>
        <w:rPr>
          <w:color w:val="000000" w:themeColor="text1"/>
          <w:sz w:val="26"/>
          <w:szCs w:val="26"/>
          <w:lang w:val="en-GB"/>
          <w14:textFill>
            <w14:solidFill>
              <w14:schemeClr w14:val="tx1"/>
            </w14:solidFill>
          </w14:textFill>
        </w:rPr>
        <w:t>ĐMST</w:t>
      </w:r>
      <w:r>
        <w:rPr>
          <w:color w:val="000000" w:themeColor="text1"/>
          <w:sz w:val="26"/>
          <w:szCs w:val="26"/>
          <w:lang w:val="en-US"/>
          <w14:textFill>
            <w14:solidFill>
              <w14:schemeClr w14:val="tx1"/>
            </w14:solidFill>
          </w14:textFill>
        </w:rPr>
        <w:t>. Các hình thức hỗ trợ phổ biến nhất là chính sách hỗ trợ đổi mới công nghệ (47,0%) và hỗ trợ tín dụng (45,5%).</w:t>
      </w:r>
    </w:p>
    <w:p w14:paraId="079D02DA">
      <w:pPr>
        <w:spacing w:before="120" w:line="312" w:lineRule="auto"/>
        <w:ind w:firstLine="720"/>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t>Tuy nhiên, đối với nhóm chưa tiếp cận được chính sách hỗ trợ, nguyên nhân chủ yếu là không biết đầu mối hỗ trợ (29,6%) hoặc không đủ năng lực kỹ thuật để tham gia các chương trình hỗ trợ (28,7%). Kết quả này cho thấy khoảng cách giữa chính sách và khả năng tiếp cận thực tế của doanh nghiệp vẫn còn khá lớn.</w:t>
      </w:r>
    </w:p>
    <w:p w14:paraId="2D831B5F">
      <w:pPr>
        <w:spacing w:before="120" w:line="312" w:lineRule="auto"/>
        <w:ind w:firstLine="720"/>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t xml:space="preserve">Khảo sát cũng cho thấy hệ sinh thái hiện còn thiếu các thiết chế trung gian có vai trò kết nối doanh nghiệp với nguồn vốn, công nghệ, chuyên gia và thị trường. Các dịch vụ hỗ trợ </w:t>
      </w:r>
      <w:r>
        <w:rPr>
          <w:color w:val="000000" w:themeColor="text1"/>
          <w:sz w:val="26"/>
          <w:szCs w:val="26"/>
          <w:lang w:val="en-GB"/>
          <w14:textFill>
            <w14:solidFill>
              <w14:schemeClr w14:val="tx1"/>
            </w14:solidFill>
          </w14:textFill>
        </w:rPr>
        <w:t>ĐMST</w:t>
      </w:r>
      <w:r>
        <w:rPr>
          <w:color w:val="000000" w:themeColor="text1"/>
          <w:sz w:val="26"/>
          <w:szCs w:val="26"/>
          <w:lang w:val="vi-VN"/>
          <w14:textFill>
            <w14:solidFill>
              <w14:schemeClr w14:val="tx1"/>
            </w14:solidFill>
          </w14:textFill>
        </w:rPr>
        <w:t xml:space="preserve"> </w:t>
      </w:r>
      <w:r>
        <w:rPr>
          <w:color w:val="000000" w:themeColor="text1"/>
          <w:sz w:val="26"/>
          <w:szCs w:val="26"/>
          <w:lang w:val="en-US"/>
          <w14:textFill>
            <w14:solidFill>
              <w14:schemeClr w14:val="tx1"/>
            </w14:solidFill>
          </w14:textFill>
        </w:rPr>
        <w:t>như tư vấn công nghệ, thương mại hóa kết quả nghiên cứu, kết nối nhà đầu tư, hỗ trợ thử nghiệm sản phẩm mới và phát triển nguồn nhân lực chưa đáp ứng được nhu cầu ngày càng tăng của doanh nghiệp.</w:t>
      </w:r>
    </w:p>
    <w:p w14:paraId="19BDCB81">
      <w:pPr>
        <w:spacing w:before="120" w:line="312" w:lineRule="auto"/>
        <w:ind w:firstLine="720"/>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t xml:space="preserve">Nhìn chung, hệ sinh thái </w:t>
      </w:r>
      <w:r>
        <w:rPr>
          <w:color w:val="000000" w:themeColor="text1"/>
          <w:sz w:val="26"/>
          <w:szCs w:val="26"/>
          <w:lang w:val="en-GB"/>
          <w14:textFill>
            <w14:solidFill>
              <w14:schemeClr w14:val="tx1"/>
            </w14:solidFill>
          </w14:textFill>
        </w:rPr>
        <w:t>ĐMST</w:t>
      </w:r>
      <w:r>
        <w:rPr>
          <w:color w:val="000000" w:themeColor="text1"/>
          <w:sz w:val="26"/>
          <w:szCs w:val="26"/>
          <w:lang w:val="vi-VN"/>
          <w14:textFill>
            <w14:solidFill>
              <w14:schemeClr w14:val="tx1"/>
            </w14:solidFill>
          </w14:textFill>
        </w:rPr>
        <w:t xml:space="preserve"> </w:t>
      </w:r>
      <w:r>
        <w:rPr>
          <w:color w:val="000000" w:themeColor="text1"/>
          <w:sz w:val="26"/>
          <w:szCs w:val="26"/>
          <w:lang w:val="en-US"/>
          <w14:textFill>
            <w14:solidFill>
              <w14:schemeClr w14:val="tx1"/>
            </w14:solidFill>
          </w14:textFill>
        </w:rPr>
        <w:t xml:space="preserve">của tỉnh hiện đang ở giai đoạn phát triển ban đầu, trong đó các thành phần về chính sách và môi trường đầu tư đã có những chuyển biến tích cực, nhưng các thành phần hỗ trợ trực tiếp cho hoạt động </w:t>
      </w:r>
      <w:r>
        <w:rPr>
          <w:color w:val="000000" w:themeColor="text1"/>
          <w:sz w:val="26"/>
          <w:szCs w:val="26"/>
          <w:lang w:val="en-GB"/>
          <w14:textFill>
            <w14:solidFill>
              <w14:schemeClr w14:val="tx1"/>
            </w14:solidFill>
          </w14:textFill>
        </w:rPr>
        <w:t>ĐMST</w:t>
      </w:r>
      <w:r>
        <w:rPr>
          <w:color w:val="000000" w:themeColor="text1"/>
          <w:sz w:val="26"/>
          <w:szCs w:val="26"/>
          <w:lang w:val="vi-VN"/>
          <w14:textFill>
            <w14:solidFill>
              <w14:schemeClr w14:val="tx1"/>
            </w14:solidFill>
          </w14:textFill>
        </w:rPr>
        <w:t xml:space="preserve"> </w:t>
      </w:r>
      <w:r>
        <w:rPr>
          <w:color w:val="000000" w:themeColor="text1"/>
          <w:sz w:val="26"/>
          <w:szCs w:val="26"/>
          <w:lang w:val="en-US"/>
          <w14:textFill>
            <w14:solidFill>
              <w14:schemeClr w14:val="tx1"/>
            </w14:solidFill>
          </w14:textFill>
        </w:rPr>
        <w:t>của doanh nghiệp vẫn còn tương đối thiếu và phân tán.</w:t>
      </w:r>
    </w:p>
    <w:p w14:paraId="2134CBFD">
      <w:pPr>
        <w:pStyle w:val="5"/>
        <w:rPr>
          <w:color w:val="000000" w:themeColor="text1"/>
          <w14:textFill>
            <w14:solidFill>
              <w14:schemeClr w14:val="tx1"/>
            </w14:solidFill>
          </w14:textFill>
        </w:rPr>
      </w:pPr>
      <w:bookmarkStart w:id="36" w:name="_Toc233183625"/>
      <w:r>
        <w:rPr>
          <w:color w:val="000000" w:themeColor="text1"/>
          <w14:textFill>
            <w14:solidFill>
              <w14:schemeClr w14:val="tx1"/>
            </w14:solidFill>
          </w14:textFill>
        </w:rPr>
        <w:t>2.2.4. Nhu cầu hỗ trợ của doanh nghiệp</w:t>
      </w:r>
      <w:bookmarkEnd w:id="36"/>
    </w:p>
    <w:p w14:paraId="01825E4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Kết quả khảo sát cho thấy nhu cầu hỗ trợ ĐMST của doanh nghiệp và HTX là rất lớn và tương đối tập trung vào một số nhóm dịch vụ cốt lõi.</w:t>
      </w:r>
    </w:p>
    <w:p w14:paraId="0166F068">
      <w:pPr>
        <w:spacing w:before="120" w:line="312" w:lineRule="auto"/>
        <w:jc w:val="center"/>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Hình 2. Nhu cầu hỗ trợ của doanh nghiệp và HTX</w:t>
      </w:r>
    </w:p>
    <w:p w14:paraId="652184DF">
      <w:pPr>
        <w:spacing w:before="120" w:line="312" w:lineRule="auto"/>
        <w:jc w:val="center"/>
        <w:rPr>
          <w:color w:val="000000" w:themeColor="text1"/>
          <w:sz w:val="26"/>
          <w:szCs w:val="26"/>
          <w:lang w:val="vi-VN"/>
          <w14:textFill>
            <w14:solidFill>
              <w14:schemeClr w14:val="tx1"/>
            </w14:solidFill>
          </w14:textFill>
        </w:rPr>
      </w:pPr>
      <w:r>
        <w:rPr>
          <w:color w:val="000000" w:themeColor="text1"/>
          <w:sz w:val="26"/>
          <w:szCs w:val="26"/>
          <w:lang w:val="en-US"/>
          <w14:textFill>
            <w14:solidFill>
              <w14:schemeClr w14:val="tx1"/>
            </w14:solidFill>
          </w14:textFill>
        </w:rPr>
        <w:drawing>
          <wp:inline distT="0" distB="0" distL="0" distR="0">
            <wp:extent cx="5854065" cy="2519680"/>
            <wp:effectExtent l="0" t="0" r="0" b="0"/>
            <wp:docPr id="10765228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22842" name="Picture 4"/>
                    <pic:cNvPicPr>
                      <a:picLocks noChangeAspect="1"/>
                    </pic:cNvPicPr>
                  </pic:nvPicPr>
                  <pic:blipFill>
                    <a:blip r:embed="rId7" cstate="print">
                      <a:extLst>
                        <a:ext uri="{28A0092B-C50C-407E-A947-70E740481C1C}">
                          <a14:useLocalDpi xmlns:a14="http://schemas.microsoft.com/office/drawing/2010/main" val="0"/>
                        </a:ext>
                      </a:extLst>
                    </a:blip>
                    <a:srcRect t="15071"/>
                    <a:stretch>
                      <a:fillRect/>
                    </a:stretch>
                  </pic:blipFill>
                  <pic:spPr>
                    <a:xfrm>
                      <a:off x="0" y="0"/>
                      <a:ext cx="5868510" cy="2525904"/>
                    </a:xfrm>
                    <a:prstGeom prst="rect">
                      <a:avLst/>
                    </a:prstGeom>
                    <a:ln>
                      <a:noFill/>
                    </a:ln>
                  </pic:spPr>
                </pic:pic>
              </a:graphicData>
            </a:graphic>
          </wp:inline>
        </w:drawing>
      </w:r>
    </w:p>
    <w:p w14:paraId="51F3421A">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Nhu cầu cao nhất là hỗ trợ tiếp cận nguồn vốn và gọi vốn đầu tư, với điểm đánh giá trung bình đạt 4,31/5. Đây là nội dung được cộng đồng doanh nghiệp quan tâm nhiều nhất, phản ánh những khó khăn hiện hữu trong việc huy động nguồn lực cho ĐMST.</w:t>
      </w:r>
    </w:p>
    <w:p w14:paraId="7C3BBDE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Đứng thứ hai là nhu cầu về cơ chế thử nghiệm sản phẩm mới (sandbox), đạt 4,28/5 điểm. Điều này cho thấy doanh nghiệp mong muốn có môi trường thử nghiệm thuận lợi để giảm thiểu rủi ro và chi phí khi triển khai các ý tưởng ĐMST.</w:t>
      </w:r>
    </w:p>
    <w:p w14:paraId="1AF22F2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Tiếp theo là nhu cầu kết nối nhà đầu tư với điểm trung bình 4,23/5; nhu cầu thành lập Trung tâm Đổi mới sáng tạo đạt 4,23/5; nhu cầu hỗ trợ không gian làm việc chung, tư vấn pháp lý, thương mại hóa công nghệ đều đạt khoảng 4,21/5.</w:t>
      </w:r>
    </w:p>
    <w:p w14:paraId="58089169">
      <w:pPr>
        <w:spacing w:before="120" w:line="312" w:lineRule="auto"/>
        <w:ind w:firstLine="720"/>
        <w:rPr>
          <w:rFonts w:hint="default"/>
          <w:color w:val="000000" w:themeColor="text1"/>
          <w:sz w:val="26"/>
          <w:szCs w:val="26"/>
          <w:lang w:val="en-GB"/>
          <w14:textFill>
            <w14:solidFill>
              <w14:schemeClr w14:val="tx1"/>
            </w14:solidFill>
          </w14:textFill>
        </w:rPr>
      </w:pPr>
      <w:r>
        <w:rPr>
          <w:color w:val="000000" w:themeColor="text1"/>
          <w:sz w:val="26"/>
          <w:szCs w:val="26"/>
          <w:lang w:val="vi-VN"/>
          <w14:textFill>
            <w14:solidFill>
              <w14:schemeClr w14:val="tx1"/>
            </w14:solidFill>
          </w14:textFill>
        </w:rPr>
        <w:t>Các kết quả trên cho thấy doanh nghiệp không chỉ cần hỗ trợ về tài chính mà còn mong muốn được tiếp cận một hệ sinh thái hỗ trợ toàn diện, bao gồm kết nối nguồn lực, hỗ trợ pháp lý, thương mại hóa công nghệ, phát triển thị trường và giảm thiểu rủi ro</w:t>
      </w:r>
      <w:r>
        <w:rPr>
          <w:rFonts w:hint="default"/>
          <w:color w:val="000000" w:themeColor="text1"/>
          <w:sz w:val="26"/>
          <w:szCs w:val="26"/>
          <w:lang w:val="en-GB"/>
          <w14:textFill>
            <w14:solidFill>
              <w14:schemeClr w14:val="tx1"/>
            </w14:solidFill>
          </w14:textFill>
        </w:rPr>
        <w:t xml:space="preserve"> trong ĐMST</w:t>
      </w:r>
    </w:p>
    <w:p w14:paraId="5BBF4E99">
      <w:pPr>
        <w:pStyle w:val="5"/>
        <w:rPr>
          <w:color w:val="000000" w:themeColor="text1"/>
          <w14:textFill>
            <w14:solidFill>
              <w14:schemeClr w14:val="tx1"/>
            </w14:solidFill>
          </w14:textFill>
        </w:rPr>
      </w:pPr>
      <w:bookmarkStart w:id="37" w:name="_Toc233183626"/>
      <w:r>
        <w:rPr>
          <w:color w:val="000000" w:themeColor="text1"/>
          <w14:textFill>
            <w14:solidFill>
              <w14:schemeClr w14:val="tx1"/>
            </w14:solidFill>
          </w14:textFill>
        </w:rPr>
        <w:t>2.2.5. Nhu cầu đối với các trung tâm ĐMST</w:t>
      </w:r>
      <w:bookmarkEnd w:id="37"/>
      <w:r>
        <w:rPr>
          <w:color w:val="000000" w:themeColor="text1"/>
          <w14:textFill>
            <w14:solidFill>
              <w14:schemeClr w14:val="tx1"/>
            </w14:solidFill>
          </w14:textFill>
        </w:rPr>
        <w:t xml:space="preserve"> </w:t>
      </w:r>
    </w:p>
    <w:p w14:paraId="55371B2C">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Một trong những kết quả nổi bật nhất của khảo sát là mức độ đồng thuận rất cao đối với việc thành lập Trung tâm ĐMST tỉnh Ninh Bình. Mức độ quan tâm trung bình đạt 4,23/5 điểm; trong đó 82,6% số đơn vị đánh giá ở mức cao hoặc rất cao (từ 4–5 điểm).</w:t>
      </w:r>
    </w:p>
    <w:p w14:paraId="3E1A4DC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Khi được yêu cầu lựa chọn mô hình trung tâm ưu tiên, Trung tâm ĐMST và Khởi nghiệp nhận được sự ủng hộ vượt trội. Có tới 77,4% số đơn vị xếp trung tâm này ở vị trí ưu tiên số một; điểm xếp hạng trung bình đạt 1,33, cao hơn đáng kể so với Trung tâm AI và Công nghệ bán dẫn cũng như Trung tâm Khoa học sự sống. Điều này cho thấy giai đoạn đầu nên ưu tiên trung tâm hạt nhân hỗ trợ doanh nghiệp, sau đó phát triển các trung tâm chuyên ngành theo nhu cầu và nguồn lực.</w:t>
      </w:r>
    </w:p>
    <w:p w14:paraId="1226F9F4">
      <w:pPr>
        <w:spacing w:before="120" w:line="312" w:lineRule="auto"/>
        <w:jc w:val="center"/>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Hình 3. Nhu cầu các dịch vụ của Trung tâm ĐMST và Khởi nghiệp</w:t>
      </w:r>
    </w:p>
    <w:p w14:paraId="7C4FC8A0">
      <w:pPr>
        <w:spacing w:before="120" w:line="312" w:lineRule="auto"/>
        <w:jc w:val="center"/>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drawing>
          <wp:inline distT="0" distB="0" distL="0" distR="0">
            <wp:extent cx="3726815" cy="1797685"/>
            <wp:effectExtent l="0" t="0" r="6985" b="12065"/>
            <wp:docPr id="816272765" name="Picture 3" descr="A colorful pie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72765" name="Picture 3" descr="A colorful pie chart with numbers and 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l="1420" t="18645" r="1441" b="5540"/>
                    <a:stretch>
                      <a:fillRect/>
                    </a:stretch>
                  </pic:blipFill>
                  <pic:spPr>
                    <a:xfrm>
                      <a:off x="0" y="0"/>
                      <a:ext cx="3726815" cy="1797685"/>
                    </a:xfrm>
                    <a:prstGeom prst="rect">
                      <a:avLst/>
                    </a:prstGeom>
                    <a:ln>
                      <a:noFill/>
                    </a:ln>
                  </pic:spPr>
                </pic:pic>
              </a:graphicData>
            </a:graphic>
          </wp:inline>
        </w:drawing>
      </w:r>
    </w:p>
    <w:p w14:paraId="1BD08ACD">
      <w:pPr>
        <w:spacing w:before="120" w:line="312" w:lineRule="auto"/>
        <w:ind w:firstLine="720"/>
        <w:rPr>
          <w:color w:val="000000" w:themeColor="text1"/>
          <w:sz w:val="26"/>
          <w:szCs w:val="26"/>
          <w:lang w:val="en-US"/>
          <w14:textFill>
            <w14:solidFill>
              <w14:schemeClr w14:val="tx1"/>
            </w14:solidFill>
          </w14:textFill>
        </w:rPr>
      </w:pPr>
      <w:r>
        <w:rPr>
          <w:color w:val="000000" w:themeColor="text1"/>
          <w:sz w:val="26"/>
          <w:szCs w:val="26"/>
          <w:lang w:val="en-US"/>
          <w14:textFill>
            <w14:solidFill>
              <w14:schemeClr w14:val="tx1"/>
            </w14:solidFill>
          </w14:textFill>
        </w:rPr>
        <w:t>Đối với các trung tâm chuyên đề, doanh nghiệp và</w:t>
      </w:r>
      <w:r>
        <w:rPr>
          <w:color w:val="000000" w:themeColor="text1"/>
          <w:sz w:val="26"/>
          <w:szCs w:val="26"/>
          <w:lang w:val="vi-VN"/>
          <w14:textFill>
            <w14:solidFill>
              <w14:schemeClr w14:val="tx1"/>
            </w14:solidFill>
          </w14:textFill>
        </w:rPr>
        <w:t xml:space="preserve"> các HTX </w:t>
      </w:r>
      <w:r>
        <w:rPr>
          <w:color w:val="000000" w:themeColor="text1"/>
          <w:sz w:val="26"/>
          <w:szCs w:val="26"/>
          <w:lang w:val="en-US"/>
          <w14:textFill>
            <w14:solidFill>
              <w14:schemeClr w14:val="tx1"/>
            </w14:solidFill>
          </w14:textFill>
        </w:rPr>
        <w:t xml:space="preserve">thể hiện sự quan tâm đáng kể đến các lĩnh vực AI, bán dẫn, công nghệ sinh học, y tế, nông nghiệp công nghệ cao và các ngành kinh tế xanh. Tuy nhiên, nhu cầu này vẫn đứng sau nhu cầu xây dựng một trung tâm hỗ trợ </w:t>
      </w:r>
      <w:r>
        <w:rPr>
          <w:color w:val="000000" w:themeColor="text1"/>
          <w:sz w:val="26"/>
          <w:szCs w:val="26"/>
          <w:lang w:val="en-GB"/>
          <w14:textFill>
            <w14:solidFill>
              <w14:schemeClr w14:val="tx1"/>
            </w14:solidFill>
          </w14:textFill>
        </w:rPr>
        <w:t>ĐMST</w:t>
      </w:r>
      <w:r>
        <w:rPr>
          <w:color w:val="000000" w:themeColor="text1"/>
          <w:sz w:val="26"/>
          <w:szCs w:val="26"/>
          <w:lang w:val="vi-VN"/>
          <w14:textFill>
            <w14:solidFill>
              <w14:schemeClr w14:val="tx1"/>
            </w14:solidFill>
          </w14:textFill>
        </w:rPr>
        <w:t xml:space="preserve"> </w:t>
      </w:r>
      <w:r>
        <w:rPr>
          <w:color w:val="000000" w:themeColor="text1"/>
          <w:sz w:val="26"/>
          <w:szCs w:val="26"/>
          <w:lang w:val="en-US"/>
          <w14:textFill>
            <w14:solidFill>
              <w14:schemeClr w14:val="tx1"/>
            </w14:solidFill>
          </w14:textFill>
        </w:rPr>
        <w:t>tổng hợp đóng vai trò đầu mối của toàn bộ hệ sinh thái.</w:t>
      </w:r>
    </w:p>
    <w:p w14:paraId="2A69AADF">
      <w:pPr>
        <w:spacing w:before="120" w:line="312" w:lineRule="auto"/>
        <w:ind w:firstLine="720"/>
        <w:rPr>
          <w:color w:val="000000" w:themeColor="text1"/>
          <w:spacing w:val="-4"/>
          <w:sz w:val="26"/>
          <w:szCs w:val="26"/>
          <w:lang w:val="en-US"/>
          <w14:textFill>
            <w14:solidFill>
              <w14:schemeClr w14:val="tx1"/>
            </w14:solidFill>
          </w14:textFill>
        </w:rPr>
      </w:pPr>
      <w:r>
        <w:rPr>
          <w:color w:val="000000" w:themeColor="text1"/>
          <w:spacing w:val="-4"/>
          <w:sz w:val="26"/>
          <w:szCs w:val="26"/>
          <w:lang w:val="en-US"/>
          <w14:textFill>
            <w14:solidFill>
              <w14:schemeClr w14:val="tx1"/>
            </w14:solidFill>
          </w14:textFill>
        </w:rPr>
        <w:t xml:space="preserve">Kết quả khảo sát cho thấy ưu tiên chính sách trong giai đoạn 2026–2030 nên tập trung vào việc xây dựng Trung tâm Đổi mới sáng tạo và Khởi nghiệp tỉnh Ninh Bình với các chức năng trọng tâm gồm hỗ trợ gọi vốn, kết nối nhà đầu tư, triển khai cơ chế sandbox, đào tạo nguồn nhân lực, hỗ trợ đổi mới công nghệ và thương mại hóa kết quả nghiên cứu. Đồng thời cần thiết kế các chương trình hỗ trợ chuyên biệt cho khu vực HTX và doanh nghiệp nhỏ – nhóm chiếm hơn 74% đối tượng khảo sát và đang đồng thời đối mặt với ba nút thắt lớn nhất là thiếu vốn, thiếu nhân lực và rủi ro trong triển khai </w:t>
      </w:r>
      <w:r>
        <w:rPr>
          <w:color w:val="000000" w:themeColor="text1"/>
          <w:spacing w:val="-4"/>
          <w:sz w:val="26"/>
          <w:szCs w:val="26"/>
          <w:lang w:val="en-GB"/>
          <w14:textFill>
            <w14:solidFill>
              <w14:schemeClr w14:val="tx1"/>
            </w14:solidFill>
          </w14:textFill>
        </w:rPr>
        <w:t>ĐMST</w:t>
      </w:r>
      <w:r>
        <w:rPr>
          <w:color w:val="000000" w:themeColor="text1"/>
          <w:spacing w:val="-4"/>
          <w:sz w:val="26"/>
          <w:szCs w:val="26"/>
          <w:lang w:val="en-US"/>
          <w14:textFill>
            <w14:solidFill>
              <w14:schemeClr w14:val="tx1"/>
            </w14:solidFill>
          </w14:textFill>
        </w:rPr>
        <w:t>.</w:t>
      </w:r>
    </w:p>
    <w:p w14:paraId="32CD0308">
      <w:pPr>
        <w:pStyle w:val="4"/>
        <w:rPr>
          <w:color w:val="000000" w:themeColor="text1"/>
          <w:lang w:val="en-GB"/>
          <w14:textFill>
            <w14:solidFill>
              <w14:schemeClr w14:val="tx1"/>
            </w14:solidFill>
          </w14:textFill>
        </w:rPr>
      </w:pPr>
      <w:bookmarkStart w:id="38" w:name="_Toc233183627"/>
      <w:r>
        <w:rPr>
          <w:color w:val="000000" w:themeColor="text1"/>
          <w14:textFill>
            <w14:solidFill>
              <w14:schemeClr w14:val="tx1"/>
            </w14:solidFill>
          </w14:textFill>
        </w:rPr>
        <w:t xml:space="preserve">2.3. Kết quả khảo sát các cơ quan quản lý, cơ sở nghiên cứu và cơ sở giáo dục về phát triển hệ sinh thái </w:t>
      </w:r>
      <w:r>
        <w:rPr>
          <w:color w:val="000000" w:themeColor="text1"/>
          <w:lang w:val="en-GB"/>
          <w14:textFill>
            <w14:solidFill>
              <w14:schemeClr w14:val="tx1"/>
            </w14:solidFill>
          </w14:textFill>
        </w:rPr>
        <w:t>ĐMST</w:t>
      </w:r>
      <w:bookmarkEnd w:id="38"/>
    </w:p>
    <w:p w14:paraId="7DFA1176">
      <w:pPr>
        <w:pStyle w:val="5"/>
        <w:rPr>
          <w:color w:val="000000" w:themeColor="text1"/>
          <w14:textFill>
            <w14:solidFill>
              <w14:schemeClr w14:val="tx1"/>
            </w14:solidFill>
          </w14:textFill>
        </w:rPr>
      </w:pPr>
      <w:bookmarkStart w:id="39" w:name="_Toc233183628"/>
      <w:r>
        <w:rPr>
          <w:color w:val="000000" w:themeColor="text1"/>
          <w14:textFill>
            <w14:solidFill>
              <w14:schemeClr w14:val="tx1"/>
            </w14:solidFill>
          </w14:textFill>
        </w:rPr>
        <w:t>2.3.1. Cơ cấu các bên liên quan tham gia khảo sát</w:t>
      </w:r>
      <w:bookmarkEnd w:id="39"/>
    </w:p>
    <w:p w14:paraId="7D7CC79C">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Nhằm đánh giá mức độ sẵn sàng tham gia hệ sinh thái ĐMST của các chủ thể thuộc khu vực công và khu vực nghiên cứu, nhóm nghiên cứu đã thu thập ý kiến của 57 đơn vị, bao gồm 47 cơ quan quản lý nhà nước, sở, ban, ngành và 10 cơ sở nghiên cứu, cơ sở giáo dục trên địa bàn tỉnh. Cơ cấu mẫu khảo sát phản ánh khá đầy đủ nhóm chủ thể có vai trò kiến tạo chính sách, cung cấp tri thức, đào tạo nguồn nhân lực và hỗ trợ phát triển hệ sinh thái đổi mới sáng tạo của tỉnh. Đây là nhóm tác nhân có ảnh hưởng trực tiếp đến việc xây dựng môi trường thể chế, phát triển nguồn nhân lực và thúc đẩy liên kết giữa nhà nước – nhà khoa học – doanh nghiệp trong quá trình phát triển hệ sinh thái ĐMST.</w:t>
      </w:r>
    </w:p>
    <w:p w14:paraId="3702B385">
      <w:pPr>
        <w:pStyle w:val="5"/>
        <w:rPr>
          <w:color w:val="000000" w:themeColor="text1"/>
          <w14:textFill>
            <w14:solidFill>
              <w14:schemeClr w14:val="tx1"/>
            </w14:solidFill>
          </w14:textFill>
        </w:rPr>
      </w:pPr>
      <w:bookmarkStart w:id="40" w:name="_Toc233183629"/>
      <w:r>
        <w:rPr>
          <w:color w:val="000000" w:themeColor="text1"/>
          <w14:textFill>
            <w14:solidFill>
              <w14:schemeClr w14:val="tx1"/>
            </w14:solidFill>
          </w14:textFill>
        </w:rPr>
        <w:t>2.3.2. Đánh giá nhu cầu thành lập các trung tâm ĐMST</w:t>
      </w:r>
      <w:bookmarkEnd w:id="40"/>
      <w:r>
        <w:rPr>
          <w:color w:val="000000" w:themeColor="text1"/>
          <w14:textFill>
            <w14:solidFill>
              <w14:schemeClr w14:val="tx1"/>
            </w14:solidFill>
          </w14:textFill>
        </w:rPr>
        <w:t xml:space="preserve"> </w:t>
      </w:r>
    </w:p>
    <w:p w14:paraId="7DADB4E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Kết quả khảo sát cho thấy các đơn vị đều đánh giá cao sự cần thiết phải hình thành các thiết chế hỗ trợ ĐMST trên địa bàn tỉnh.</w:t>
      </w:r>
    </w:p>
    <w:p w14:paraId="0C02F078">
      <w:pPr>
        <w:spacing w:before="120" w:line="312" w:lineRule="auto"/>
        <w:jc w:val="center"/>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Hình 4. Mức độ quan tâm đến việc thành lập các Trung tâm ĐMST</w:t>
      </w:r>
    </w:p>
    <w:p w14:paraId="67CFF58C">
      <w:pPr>
        <w:spacing w:before="120" w:line="312" w:lineRule="auto"/>
        <w:rPr>
          <w:color w:val="000000" w:themeColor="text1"/>
          <w:sz w:val="26"/>
          <w:szCs w:val="26"/>
          <w:lang w:val="vi-VN"/>
          <w14:textFill>
            <w14:solidFill>
              <w14:schemeClr w14:val="tx1"/>
            </w14:solidFill>
          </w14:textFill>
        </w:rPr>
      </w:pPr>
      <w:r>
        <w:rPr>
          <w:color w:val="000000" w:themeColor="text1"/>
          <w:sz w:val="26"/>
          <w:szCs w:val="26"/>
          <w:lang w:val="en-US"/>
          <w14:textFill>
            <w14:solidFill>
              <w14:schemeClr w14:val="tx1"/>
            </w14:solidFill>
          </w14:textFill>
        </w:rPr>
        <w:drawing>
          <wp:inline distT="0" distB="0" distL="0" distR="0">
            <wp:extent cx="6019800" cy="2265680"/>
            <wp:effectExtent l="0" t="0" r="0" b="1270"/>
            <wp:docPr id="455774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74154" name="Picture 1"/>
                    <pic:cNvPicPr>
                      <a:picLocks noChangeAspect="1"/>
                    </pic:cNvPicPr>
                  </pic:nvPicPr>
                  <pic:blipFill>
                    <a:blip r:embed="rId9" cstate="print">
                      <a:extLst>
                        <a:ext uri="{28A0092B-C50C-407E-A947-70E740481C1C}">
                          <a14:useLocalDpi xmlns:a14="http://schemas.microsoft.com/office/drawing/2010/main" val="0"/>
                        </a:ext>
                      </a:extLst>
                    </a:blip>
                    <a:srcRect t="18463"/>
                    <a:stretch>
                      <a:fillRect/>
                    </a:stretch>
                  </pic:blipFill>
                  <pic:spPr>
                    <a:xfrm>
                      <a:off x="0" y="0"/>
                      <a:ext cx="6019800" cy="2265680"/>
                    </a:xfrm>
                    <a:prstGeom prst="rect">
                      <a:avLst/>
                    </a:prstGeom>
                    <a:ln>
                      <a:noFill/>
                    </a:ln>
                  </pic:spPr>
                </pic:pic>
              </a:graphicData>
            </a:graphic>
          </wp:inline>
        </w:drawing>
      </w:r>
    </w:p>
    <w:p w14:paraId="300BE06A">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Trong số các mô hình được đề xuất, Trung tâm Đổi mới sáng tạo  nhận được mức độ quan tâm cao nhất với điểm trung bình 4,31/5, cho thấy sự đồng thuận rất lớn của các cơ quan quản lý và các cơ sở nghiên cứu, đào tạo về sự cần thiết của một đầu mối điều phối và hỗ trợ hệ sinh thái ĐMST cấp tỉnh. Kết quả này cho thấy nhận thức của các bên liên quan đang ưu tiên trước hết việc xây dựng một trung tâm ĐMST hạt nhân làm nền tảng cho toàn bộ hệ sinh thái; sau đó mới phát triển các trung tâm chuyên ngành gắn với các lĩnh vực có tiềm năng và lợi thế của tỉnh. </w:t>
      </w:r>
    </w:p>
    <w:p w14:paraId="52AD1334">
      <w:pPr>
        <w:pStyle w:val="5"/>
        <w:rPr>
          <w:rFonts w:hint="default"/>
          <w:color w:val="000000" w:themeColor="text1"/>
          <w:lang w:val="en-GB"/>
          <w14:textFill>
            <w14:solidFill>
              <w14:schemeClr w14:val="tx1"/>
            </w14:solidFill>
          </w14:textFill>
        </w:rPr>
      </w:pPr>
      <w:bookmarkStart w:id="41" w:name="_Toc233183630"/>
      <w:r>
        <w:rPr>
          <w:color w:val="000000" w:themeColor="text1"/>
          <w14:textFill>
            <w14:solidFill>
              <w14:schemeClr w14:val="tx1"/>
            </w14:solidFill>
          </w14:textFill>
        </w:rPr>
        <w:t xml:space="preserve">2.3.3. Các chức năng được quan tâm của Trung tâm </w:t>
      </w:r>
      <w:bookmarkEnd w:id="41"/>
      <w:r>
        <w:rPr>
          <w:color w:val="000000" w:themeColor="text1"/>
          <w:lang w:val="en-GB"/>
          <w14:textFill>
            <w14:solidFill>
              <w14:schemeClr w14:val="tx1"/>
            </w14:solidFill>
          </w14:textFill>
        </w:rPr>
        <w:t>Đ</w:t>
      </w:r>
      <w:r>
        <w:rPr>
          <w:rFonts w:hint="default"/>
          <w:color w:val="000000" w:themeColor="text1"/>
          <w:lang w:val="en-GB"/>
          <w14:textFill>
            <w14:solidFill>
              <w14:schemeClr w14:val="tx1"/>
            </w14:solidFill>
          </w14:textFill>
        </w:rPr>
        <w:t>MST</w:t>
      </w:r>
    </w:p>
    <w:p w14:paraId="54C6A3C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Khảo sát cho thấy các bên liên quan không kỳ vọng Trung tâm ĐMST chỉ là một không gian làm việc hoặc đơn vị hành chính hỗ trợ khởi nghiệp, mà phải thực sự đóng vai trò là nền tảng kết nối các nguồn lực trong hệ sinh thái. Các chức năng được đánh giá cao nhất gồm:</w:t>
      </w:r>
    </w:p>
    <w:p w14:paraId="63860D17">
      <w:pPr>
        <w:spacing w:before="120" w:line="312" w:lineRule="auto"/>
        <w:jc w:val="center"/>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Hình 5. Các chức năng được quan tâm của Trung tâm ĐMST</w:t>
      </w:r>
    </w:p>
    <w:p w14:paraId="28B1189A">
      <w:pPr>
        <w:spacing w:before="120" w:line="312" w:lineRule="auto"/>
        <w:jc w:val="center"/>
        <w:rPr>
          <w:b/>
          <w:bCs/>
          <w:color w:val="000000" w:themeColor="text1"/>
          <w:sz w:val="26"/>
          <w:szCs w:val="26"/>
          <w:lang w:val="vi-VN"/>
          <w14:textFill>
            <w14:solidFill>
              <w14:schemeClr w14:val="tx1"/>
            </w14:solidFill>
          </w14:textFill>
        </w:rPr>
      </w:pPr>
      <w:r>
        <w:rPr>
          <w:b/>
          <w:bCs/>
          <w:color w:val="000000" w:themeColor="text1"/>
          <w:sz w:val="26"/>
          <w:szCs w:val="26"/>
          <w:lang w:val="en-US"/>
          <w14:textFill>
            <w14:solidFill>
              <w14:schemeClr w14:val="tx1"/>
            </w14:solidFill>
          </w14:textFill>
        </w:rPr>
        <w:drawing>
          <wp:inline distT="0" distB="0" distL="0" distR="0">
            <wp:extent cx="6082030" cy="2552700"/>
            <wp:effectExtent l="0" t="0" r="13970" b="0"/>
            <wp:docPr id="266006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06352" name="Picture 2"/>
                    <pic:cNvPicPr>
                      <a:picLocks noChangeAspect="1"/>
                    </pic:cNvPicPr>
                  </pic:nvPicPr>
                  <pic:blipFill>
                    <a:blip r:embed="rId10" cstate="print">
                      <a:extLst>
                        <a:ext uri="{28A0092B-C50C-407E-A947-70E740481C1C}">
                          <a14:useLocalDpi xmlns:a14="http://schemas.microsoft.com/office/drawing/2010/main" val="0"/>
                        </a:ext>
                      </a:extLst>
                    </a:blip>
                    <a:srcRect l="4317" t="13683" b="9304"/>
                    <a:stretch>
                      <a:fillRect/>
                    </a:stretch>
                  </pic:blipFill>
                  <pic:spPr>
                    <a:xfrm>
                      <a:off x="0" y="0"/>
                      <a:ext cx="6082030" cy="2552700"/>
                    </a:xfrm>
                    <a:prstGeom prst="rect">
                      <a:avLst/>
                    </a:prstGeom>
                    <a:ln>
                      <a:noFill/>
                    </a:ln>
                  </pic:spPr>
                </pic:pic>
              </a:graphicData>
            </a:graphic>
          </wp:inline>
        </w:drawing>
      </w:r>
    </w:p>
    <w:p w14:paraId="2D099F58">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Đáng chú ý, chức năng được đánh giá cao nhất là kết nối chính quyền – nhà khoa học – doanh nghiệp với điểm trung bình 4,45/5. Kết quả này phản ánh một thực tế rằng khoảng cách giữa nghiên cứu, chính sách và nhu cầu thị trường hiện vẫn là một trong những điểm nghẽn lớn nhất của hệ sinh thái ĐMST địa phương. Các cơ quan, viện nghiên cứu và cơ sở giáo dục đều mong muốn có một thiết chế trung gian đóng vai trò điều phối, kết nối và chuyển hóa các kết quả nghiên cứu thành sản phẩm, công nghệ và giải pháp phục vụ phát triển kinh tế - xã hội. Bên cạnh đó, nhu cầu về cơ chế sandbox công nghệ và chính sách cũng đạt mức cao (3,92/5), cho thấy mong muốn hình thành môi trường thử nghiệm thuận lợi cho các ý tưởng mới trước khi triển khai trên quy mô lớn.</w:t>
      </w:r>
    </w:p>
    <w:p w14:paraId="6532ACD0">
      <w:pPr>
        <w:pStyle w:val="5"/>
        <w:rPr>
          <w:color w:val="000000" w:themeColor="text1"/>
          <w14:textFill>
            <w14:solidFill>
              <w14:schemeClr w14:val="tx1"/>
            </w14:solidFill>
          </w14:textFill>
        </w:rPr>
      </w:pPr>
      <w:bookmarkStart w:id="42" w:name="_Toc233183631"/>
      <w:r>
        <w:rPr>
          <w:color w:val="000000" w:themeColor="text1"/>
          <w14:textFill>
            <w14:solidFill>
              <w14:schemeClr w14:val="tx1"/>
            </w14:solidFill>
          </w14:textFill>
        </w:rPr>
        <w:t>2.3.4. Những thiếu hụt lớn nhất của hệ sinh thái ĐMST tỉnh Ninh Bình</w:t>
      </w:r>
      <w:bookmarkEnd w:id="42"/>
    </w:p>
    <w:p w14:paraId="641C8A17">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Kết quả khảo sát cho thấy các bên liên quan đánh giá hệ sinh thái ĐMST của tỉnh hiện vẫn còn nhiều khoảng trống quan trọng cần được ưu tiên đầu tư trong giai đoạn tới. Các yếu tố thiếu hụt được lựa chọn nhiều nhất gồm:</w:t>
      </w:r>
    </w:p>
    <w:p w14:paraId="35EA8F17">
      <w:pPr>
        <w:spacing w:before="120" w:line="312" w:lineRule="auto"/>
        <w:jc w:val="center"/>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Hình 6. Các thiếu hụt lớn nhất của hệ sinh thái ĐMST</w:t>
      </w:r>
    </w:p>
    <w:p w14:paraId="02802D11">
      <w:pPr>
        <w:spacing w:before="120" w:line="312" w:lineRule="auto"/>
        <w:rPr>
          <w:color w:val="000000" w:themeColor="text1"/>
          <w:sz w:val="26"/>
          <w:szCs w:val="26"/>
          <w:lang w:val="vi-VN"/>
          <w14:textFill>
            <w14:solidFill>
              <w14:schemeClr w14:val="tx1"/>
            </w14:solidFill>
          </w14:textFill>
        </w:rPr>
      </w:pPr>
      <w:r>
        <w:rPr>
          <w:color w:val="000000" w:themeColor="text1"/>
          <w:sz w:val="26"/>
          <w:szCs w:val="26"/>
          <w:lang w:val="en-US"/>
          <w14:textFill>
            <w14:solidFill>
              <w14:schemeClr w14:val="tx1"/>
            </w14:solidFill>
          </w14:textFill>
        </w:rPr>
        <w:drawing>
          <wp:inline distT="0" distB="0" distL="0" distR="0">
            <wp:extent cx="5808345" cy="2578100"/>
            <wp:effectExtent l="0" t="0" r="1905" b="0"/>
            <wp:docPr id="12106074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07464" name="Picture 3"/>
                    <pic:cNvPicPr>
                      <a:picLocks noChangeAspect="1"/>
                    </pic:cNvPicPr>
                  </pic:nvPicPr>
                  <pic:blipFill>
                    <a:blip r:embed="rId11" cstate="print">
                      <a:extLst>
                        <a:ext uri="{28A0092B-C50C-407E-A947-70E740481C1C}">
                          <a14:useLocalDpi xmlns:a14="http://schemas.microsoft.com/office/drawing/2010/main" val="0"/>
                        </a:ext>
                      </a:extLst>
                    </a:blip>
                    <a:srcRect t="16618" b="2124"/>
                    <a:stretch>
                      <a:fillRect/>
                    </a:stretch>
                  </pic:blipFill>
                  <pic:spPr>
                    <a:xfrm>
                      <a:off x="0" y="0"/>
                      <a:ext cx="5826880" cy="2586155"/>
                    </a:xfrm>
                    <a:prstGeom prst="rect">
                      <a:avLst/>
                    </a:prstGeom>
                    <a:ln>
                      <a:noFill/>
                    </a:ln>
                  </pic:spPr>
                </pic:pic>
              </a:graphicData>
            </a:graphic>
          </wp:inline>
        </w:drawing>
      </w:r>
    </w:p>
    <w:p w14:paraId="0A4D922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Trong đó, nguồn nhân lực được xác định là điểm nghẽn lớn nhất của hệ sinh thái với tỷ lệ lựa chọn lên tới 72,5%. Điều này cho thấy mặc dù tỉnh đã có hệ thống các trường đại học, cao đẳng và cơ sở giáo dục nghề nghiệp tương đối phát triển, song vẫn thiếu đội ngũ nhân lực chất lượng cao trong các lĩnh vực công nghệ mới, nghiên cứu ứng dụng, quản trị đổi mới sáng tạo và khởi nghiệp công nghệ.</w:t>
      </w:r>
    </w:p>
    <w:p w14:paraId="5CEBFB9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Bên cạnh đó, hơn một nửa số đơn vị được khảo sát cho rằng cơ chế chính sách hỗ trợ ĐMST chưa thực sự hoàn thiện (55,3%), trong khi nguồn lực tài chính dành cho ĐMST và các quỹ đầu tư hỗ trợ doanh nghiệp khởi nghiệp sáng tạo còn hạn chế (45,0%). Đáng chú ý, có tới 40,8% ý kiến cho rằng tỉnh vẫn thiếu các phòng thí nghiệm, cơ sở thử nghiệm và hạ tầng nghiên cứu hiện đại, phản ánh nhu cầu cấp thiết phải đầu tư các trung tâm nghiên cứu, phòng thí nghiệm dùng chung và các không gian thử nghiệm công nghệ phục vụ doanh nghiệp, viện nghiên cứu và cơ sở đào tạo. </w:t>
      </w:r>
    </w:p>
    <w:p w14:paraId="641FCD80">
      <w:pPr>
        <w:pStyle w:val="5"/>
        <w:rPr>
          <w:color w:val="000000" w:themeColor="text1"/>
          <w14:textFill>
            <w14:solidFill>
              <w14:schemeClr w14:val="tx1"/>
            </w14:solidFill>
          </w14:textFill>
        </w:rPr>
      </w:pPr>
      <w:bookmarkStart w:id="43" w:name="_Toc233183632"/>
      <w:r>
        <w:rPr>
          <w:color w:val="000000" w:themeColor="text1"/>
          <w14:textFill>
            <w14:solidFill>
              <w14:schemeClr w14:val="tx1"/>
            </w14:solidFill>
          </w14:textFill>
        </w:rPr>
        <w:t>2.3.5. Tổng kết kết quả khảo sát</w:t>
      </w:r>
      <w:bookmarkEnd w:id="43"/>
    </w:p>
    <w:p w14:paraId="331B8982">
      <w:pPr>
        <w:spacing w:before="120" w:line="312" w:lineRule="auto"/>
        <w:ind w:firstLine="720"/>
        <w:rPr>
          <w:color w:val="000000" w:themeColor="text1"/>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 xml:space="preserve">Kết quả khảo sát gợi mở bốn nhóm vấn đề cần được ưu tiên xem xét trong thiết kế Đề án: nhân lực, cơ chế chính sách, nguồn lực tài chính và hạ tầng nghiên cứu – thử nghiệm. </w:t>
      </w:r>
      <w:r>
        <w:rPr>
          <w:color w:val="000000" w:themeColor="text1"/>
          <w:sz w:val="26"/>
          <w:szCs w:val="26"/>
          <w:lang w:val="vi-VN"/>
          <w14:textFill>
            <w14:solidFill>
              <w14:schemeClr w14:val="tx1"/>
            </w14:solidFill>
          </w14:textFill>
        </w:rPr>
        <w:t>Vì vậy, trong giai đoạn 2026–2030, tỉnh cần ưu tiên đầu tư đồng thời vào bốn trụ cột này nhằm tạo nền tảng cho việc hình thành một hệ sinh thái ĐMST có khả năng kết nối hiệu quả giữa chính quyền, viện trường và doanh nghiệp, từ đó thúc đẩy quá trình chuyển giao công nghệ, thương mại hóa kết quả nghiên cứu và phát triển các ngành kinh tế mới dựa trên tri thức và ĐMST.</w:t>
      </w:r>
    </w:p>
    <w:p w14:paraId="42770A2E">
      <w:pPr>
        <w:pStyle w:val="4"/>
        <w:rPr>
          <w:b/>
          <w:bCs/>
          <w:color w:val="000000" w:themeColor="text1"/>
          <w:spacing w:val="-9"/>
          <w14:textFill>
            <w14:solidFill>
              <w14:schemeClr w14:val="tx1"/>
            </w14:solidFill>
          </w14:textFill>
        </w:rPr>
      </w:pPr>
      <w:bookmarkStart w:id="44" w:name="_Toc233183633"/>
      <w:r>
        <w:rPr>
          <w:b/>
          <w:bCs/>
          <w:color w:val="000000" w:themeColor="text1"/>
          <w:spacing w:val="-9"/>
          <w14:textFill>
            <w14:solidFill>
              <w14:schemeClr w14:val="tx1"/>
            </w14:solidFill>
          </w14:textFill>
        </w:rPr>
        <w:t>2.4. Nhu cầu tất yếu phát triển hệ sinh thái ĐMST tích hợp của tỉnh Ninh Bình</w:t>
      </w:r>
      <w:bookmarkEnd w:id="44"/>
    </w:p>
    <w:p w14:paraId="6BCE6B4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Thực tiễn phát triển cho thấy, vấn đề của Ninh Bình không nằm ở việc thiếu tiềm năng phát triển, mà nằm ở chỗ các nguồn lực hiện có vẫn đang vận hành tương đối phân tán, thiếu cơ chế kết nối và chưa được tổ chức thành một hệ sinh thái ĐMST tích hợp. Trong bối cảnh tỉnh bước vào giai đoạn phát triển mới sau sáp nhập, yêu cầu đặt ra không còn là hỗ trợ riêng lẻ cho từng doanh nghiệp, từng ngành hay từng chương trình khởi nghiệp, mà là hình thành một hệ sinh thái có khả năng kết nối, điều phối và chuyển hóa các nguồn lực phát triển thành động lực tăng trưởng mới dựa trên khoa học, công nghệ và ĐMST.</w:t>
      </w:r>
    </w:p>
    <w:p w14:paraId="68F5E066">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nhất</w:t>
      </w:r>
      <w:r>
        <w:rPr>
          <w:color w:val="000000" w:themeColor="text1"/>
          <w:sz w:val="26"/>
          <w:szCs w:val="26"/>
          <w:lang w:val="vi-VN"/>
          <w14:textFill>
            <w14:solidFill>
              <w14:schemeClr w14:val="tx1"/>
            </w14:solidFill>
          </w14:textFill>
        </w:rPr>
        <w:t>, Ninh Bình cần hình thành hạ tầng và môi trường dùng chung cho ĐMST. Hiện nay, các hoạt động hỗ trợ ĐMST còn phân tán, thiếu không gian chung để doanh nghiệp, startup, cơ sở đào tạo và tổ chức nghiên cứu cùng tham gia giải quyết các bài toán thực tiễn của địa phương. Trong khi đó, sự hiện diện của các doanh nghiệp sản xuất công nghệ cao và nhu cầu đổi mới trong các lĩnh vực công nghiệp, du lịch, nông nghiệp, logistics tạo ra yêu cầu cấp thiết về các nền tảng dùng chung, không gian thử nghiệm, cơ sở dữ liệu và môi trường kết nối để thúc đẩy hợp tác, thử nghiệm và thương mại hóa công nghệ.</w:t>
      </w:r>
    </w:p>
    <w:p w14:paraId="3BAE9B05">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hai</w:t>
      </w:r>
      <w:r>
        <w:rPr>
          <w:color w:val="000000" w:themeColor="text1"/>
          <w:sz w:val="26"/>
          <w:szCs w:val="26"/>
          <w:lang w:val="vi-VN"/>
          <w14:textFill>
            <w14:solidFill>
              <w14:schemeClr w14:val="tx1"/>
            </w14:solidFill>
          </w14:textFill>
        </w:rPr>
        <w:t>, tỉnh cần có một trung tâm điều phối hệ sinh thái ĐMST. Các thành phần của hệ sinh thái như doanh nghiệp, cơ sở đào tạo, startup, cơ quan quản lý, chuyên gia và các chương trình hỗ trợ hiện vẫn hoạt động tương đối độc lập, thiếu một đầu mối kết nối và chia sẻ nguồn lực. Vì vậy, cần hình thành một thiết chế trung tâm có vai trò điều phối, kết nối và hỗ trợ vận hành hệ sinh thái; qua đó liên kết doanh nghiệp – viện trường – nhà nước – nhà đầu tư, thúc đẩy chuyển giao công nghệ, hỗ trợ doanh nghiệp đổi mới công nghệ và dẫn dắt các chương trình ĐMST trọng điểm của tỉnh.</w:t>
      </w:r>
    </w:p>
    <w:p w14:paraId="347DF339">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ba</w:t>
      </w:r>
      <w:r>
        <w:rPr>
          <w:color w:val="000000" w:themeColor="text1"/>
          <w:sz w:val="26"/>
          <w:szCs w:val="26"/>
          <w:lang w:val="vi-VN"/>
          <w14:textFill>
            <w14:solidFill>
              <w14:schemeClr w14:val="tx1"/>
            </w14:solidFill>
          </w14:textFill>
        </w:rPr>
        <w:t>, Ninh Bình cần tập trung nguồn lực vào các lĩnh vực ĐMST mũi nhọn có lợi thế cạnh tranh rõ rệt. Trong điều kiện nguồn lực còn hạn chế, tỉnh không thể phát triển hệ sinh thái ĐMST theo hướng dàn trải trên mọi ngành, lĩnh vực, mà cần lựa chọn những lĩnh vực có khả năng tạo tác động lan tỏa lớn. Trên cơ sở cấu trúc kinh tế và lợi thế hiện có, các hướng ưu tiên có thể bao gồm công nghiệp điện tử – bán dẫn, công nghệ sinh học – dược liệu, nông nghiệp công nghệ cao, du lịch thông minh, công nghiệp văn hóa và các lĩnh vực công nghệ phục vụ sản xuất thông minh. Việc tập trung vào các lĩnh vực mũi nhọn sẽ giúp tỉnh hình thành các cụm ĐMST đặc thù, tạo điều kiện phát triển doanh nghiệp dẫn dắt, chương trình nghiên cứu ứng dụng và chuỗi liên kết giá trị có khả năng cạnh tranh.</w:t>
      </w:r>
    </w:p>
    <w:p w14:paraId="5EE89477">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tư</w:t>
      </w:r>
      <w:r>
        <w:rPr>
          <w:color w:val="000000" w:themeColor="text1"/>
          <w:sz w:val="26"/>
          <w:szCs w:val="26"/>
          <w:lang w:val="vi-VN"/>
          <w14:textFill>
            <w14:solidFill>
              <w14:schemeClr w14:val="tx1"/>
            </w14:solidFill>
          </w14:textFill>
        </w:rPr>
        <w:t>, tỉnh cần nâng cao chất lượng nguồn nhân lực khoa học, công nghệ và ĐMST. Sau sáp nhập, quy mô dân số và mạng lưới cơ sở giáo dục, đào tạo của tỉnh được mở rộng, tạo nền tảng quan trọng cho phát triển nguồn nhân lực. Tuy nhiên, thách thức lớn nhất hiện nay là thiếu hụt đội ngũ nhân lực chất lượng cao trong các lĩnh vực công nghệ mới, nghiên cứu ứng dụng, quản trị đổi mới sáng tạo, chuyển đổi số và thương mại hóa công nghệ. Khoảng cách giữa năng lực đào tạo hiện tại và nhu cầu thực tiễn của doanh nghiệp đòi hỏi tỉnh phải có cách tiếp cận mới trong phát triển nhân lực, gắn đào tạo với doanh nghiệp, công nghệ và nhu cầu của các ngành mũi nhọn.</w:t>
      </w:r>
    </w:p>
    <w:p w14:paraId="1B94935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Có thể thấy, trong bối cảnh mới sau sáp nhập, phát triển hệ sinh thái ĐMST tích hợp là yêu cầu tất yếu đối với tỉnh Ninh Bình. Đây là nền tảng để kết nối các nguồn lực phát triển, nâng cao năng lực cạnh tranh của doanh nghiệp, thúc đẩy chuyển đổi mô hình tăng trưởng theo hướng dựa trên tri thức, công nghệ và đổi mới sáng tạo, đồng thời hình thành các động lực phát triển mới cho tỉnh trong giai đoạn tới.</w:t>
      </w:r>
    </w:p>
    <w:p w14:paraId="2DE63379">
      <w:pPr>
        <w:pStyle w:val="2"/>
        <w:spacing w:before="120" w:line="312" w:lineRule="auto"/>
        <w:jc w:val="center"/>
        <w:rPr>
          <w:color w:val="000000" w:themeColor="text1"/>
          <w:lang w:val="vi-VN"/>
          <w14:textFill>
            <w14:solidFill>
              <w14:schemeClr w14:val="tx1"/>
            </w14:solidFill>
          </w14:textFill>
        </w:rPr>
      </w:pPr>
      <w:bookmarkStart w:id="45" w:name="_Toc233183634"/>
      <w:r>
        <w:rPr>
          <w:color w:val="000000" w:themeColor="text1"/>
          <w:lang w:val="vi-VN"/>
          <w14:textFill>
            <w14:solidFill>
              <w14:schemeClr w14:val="tx1"/>
            </w14:solidFill>
          </w14:textFill>
        </w:rPr>
        <w:t>PHẦN IV – QUAN ĐIỂM, MỤC TIÊU XÂY DỰNG ĐỀ ÁN</w:t>
      </w:r>
      <w:bookmarkEnd w:id="45"/>
    </w:p>
    <w:p w14:paraId="735176E1">
      <w:pPr>
        <w:pStyle w:val="3"/>
        <w:rPr>
          <w:b/>
          <w:bCs/>
          <w:color w:val="000000" w:themeColor="text1"/>
          <w:spacing w:val="-9"/>
          <w14:textFill>
            <w14:solidFill>
              <w14:schemeClr w14:val="tx1"/>
            </w14:solidFill>
          </w14:textFill>
        </w:rPr>
      </w:pPr>
      <w:bookmarkStart w:id="46" w:name="_Toc233183635"/>
      <w:r>
        <w:rPr>
          <w:b/>
          <w:bCs/>
          <w:color w:val="000000" w:themeColor="text1"/>
          <w:spacing w:val="-9"/>
          <w14:textFill>
            <w14:solidFill>
              <w14:schemeClr w14:val="tx1"/>
            </w14:solidFill>
          </w14:textFill>
        </w:rPr>
        <w:t>I. QUAN ĐIỂM XÂY DỰNG ĐỀ ÁN HỆ SINH THÁI ĐMST TỈNH NINH BÌNH</w:t>
      </w:r>
      <w:bookmarkEnd w:id="46"/>
    </w:p>
    <w:p w14:paraId="174A925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Trong bối cảnh khoa học, công nghệ và đổi mới sáng tạo ngày càng trở thành động lực quan trọng của phát triển kinh tế - xã hội, tỉnh Ninh Bình xác định phát triển hệ sinh thái ĐMST là nhiệm vụ chiến lược nhằm kết nối các nguồn lực về tri thức, công nghệ, dữ liệu và con người, tạo động lực tăng trưởng mới, nâng cao năng lực cạnh tranh và thúc đẩy phát triển bền vững. Việc phát triển hệ sinh thái ĐMST được thực hiện theo cách tiếp cận tổng thể, tích hợp, lấy doanh nghiệp làm trung tâm và bảo đảm sự gắn kết giữa khoa học công nghệ, đổi mới sáng tạo, chuyển đổi số và các ngành kinh tế trọng điểm của tỉnh. Các quan điểm cụ thể bao gồm:</w:t>
      </w:r>
    </w:p>
    <w:p w14:paraId="22DD1682">
      <w:pPr>
        <w:pStyle w:val="4"/>
        <w:rPr>
          <w:color w:val="000000" w:themeColor="text1"/>
          <w14:textFill>
            <w14:solidFill>
              <w14:schemeClr w14:val="tx1"/>
            </w14:solidFill>
          </w14:textFill>
        </w:rPr>
      </w:pPr>
      <w:bookmarkStart w:id="47" w:name="_Toc233183636"/>
      <w:r>
        <w:rPr>
          <w:color w:val="000000" w:themeColor="text1"/>
          <w14:textFill>
            <w14:solidFill>
              <w14:schemeClr w14:val="tx1"/>
            </w14:solidFill>
          </w14:textFill>
        </w:rPr>
        <w:t>1.1. Phát triển hệ sinh thái ĐMST là nhiệm vụ chiến lược, mang tính liên ngành và toàn diện</w:t>
      </w:r>
      <w:bookmarkEnd w:id="47"/>
    </w:p>
    <w:p w14:paraId="16B53938">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ĐMST không chỉ là hoạt động nghiên cứu khoa học hay hỗ trợ startup, mà là quá trình đổi mới toàn diện trong sản xuất, quản trị, dịch vụ và mô hình tổ chức của nền kinh tế. Phát triển hệ sinh thái ĐMST phải được xác định là nhiệm vụ trọng tâm, xuyên suốt trong chiến lược phát triển kinh tế – xã hội của tỉnh; có sự tham gia đồng bộ của chính quyền, doanh nghiệp, cơ sở đào tạo – nghiên cứu, tổ chức trung gian và cộng đồng xã hội.</w:t>
      </w:r>
    </w:p>
    <w:p w14:paraId="4160D177">
      <w:pPr>
        <w:pStyle w:val="4"/>
        <w:rPr>
          <w:color w:val="000000" w:themeColor="text1"/>
          <w14:textFill>
            <w14:solidFill>
              <w14:schemeClr w14:val="tx1"/>
            </w14:solidFill>
          </w14:textFill>
        </w:rPr>
      </w:pPr>
      <w:bookmarkStart w:id="48" w:name="_Toc233183637"/>
      <w:r>
        <w:rPr>
          <w:color w:val="000000" w:themeColor="text1"/>
          <w14:textFill>
            <w14:solidFill>
              <w14:schemeClr w14:val="tx1"/>
            </w14:solidFill>
          </w14:textFill>
        </w:rPr>
        <w:t>1.2. Chuyển từ tư duy quản lý các thành phần riêng lẻ sang kiến tạo hệ sinh thái tích hợp</w:t>
      </w:r>
      <w:bookmarkEnd w:id="48"/>
    </w:p>
    <w:p w14:paraId="3A509DF2">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Tỉnh Ninh Bình xác định phát triển ĐMST không thể thực hiện theo cách tiếp cận rời rạc, manh mún hoặc hỗ trợ riêng lẻ từng chủ thể, mà cần xây dựng một hệ sinh thái tích hợp có khả năng kết nối các nguồn lực, dữ liệu, công nghệ và các chủ thể phát triển. Trong hệ sinh thái đó, doanh nghiệp lớn, doanh nghiệp FDI, startup, viện trường, cơ quan quản lý và các tổ chức hỗ trợ phải được liên kết chặt chẽ thông qua các nền tảng dùng chung, cơ chế phối hợp và các không gian hợp tác mở.</w:t>
      </w:r>
    </w:p>
    <w:p w14:paraId="41C80CFA">
      <w:pPr>
        <w:pStyle w:val="4"/>
        <w:rPr>
          <w:color w:val="000000" w:themeColor="text1"/>
          <w14:textFill>
            <w14:solidFill>
              <w14:schemeClr w14:val="tx1"/>
            </w14:solidFill>
          </w14:textFill>
        </w:rPr>
      </w:pPr>
      <w:bookmarkStart w:id="49" w:name="_Toc233183638"/>
      <w:r>
        <w:rPr>
          <w:color w:val="000000" w:themeColor="text1"/>
          <w14:textFill>
            <w14:solidFill>
              <w14:schemeClr w14:val="tx1"/>
            </w14:solidFill>
          </w14:textFill>
        </w:rPr>
        <w:t>1.3. Xây dựng môi trường thử nghiệm và hạ tầng hỗ trợ ĐMST</w:t>
      </w:r>
      <w:bookmarkEnd w:id="49"/>
    </w:p>
    <w:p w14:paraId="32A6B846">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Tỉnh ưu tiên xây dựng môi trường thuận lợi và hạ tầng hỗ trợ ĐMST nhằm thúc đẩy nghiên cứu, thử nghiệm, ứng dụng và thương mại hóa công nghệ mới. Khuyến khích tăng cường liên kết giữa doanh nghiệp, cơ sở đào tạo, tổ chức khoa học và công nghệ, nhà đầu tư và các chủ thể trong hệ sinh thái; đồng thời phát huy vai trò của doanh nghiệp lớn và doanh nghiệp FDI trong việc đặt hàng, dẫn dắt và lan tỏa các hoạt động ĐMST.</w:t>
      </w:r>
    </w:p>
    <w:p w14:paraId="40F82D05">
      <w:pPr>
        <w:pStyle w:val="4"/>
        <w:rPr>
          <w:color w:val="000000" w:themeColor="text1"/>
          <w14:textFill>
            <w14:solidFill>
              <w14:schemeClr w14:val="tx1"/>
            </w14:solidFill>
          </w14:textFill>
        </w:rPr>
      </w:pPr>
      <w:bookmarkStart w:id="50" w:name="_Toc233183639"/>
      <w:r>
        <w:rPr>
          <w:color w:val="000000" w:themeColor="text1"/>
          <w14:textFill>
            <w14:solidFill>
              <w14:schemeClr w14:val="tx1"/>
            </w14:solidFill>
          </w14:textFill>
        </w:rPr>
        <w:t>1.4. Trung tâm ĐMST giữ vai trò điều phối và kết nối hệ sinh thái</w:t>
      </w:r>
      <w:bookmarkEnd w:id="50"/>
    </w:p>
    <w:p w14:paraId="0BE3FF9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ĐMST được xác định là hạt nhân điều phối, kết nối và dẫn dắt hệ sinh thái ĐMST của tỉnh; góp phần thúc đẩy hợp tác giữa doanh nghiệp, cơ sở đào tạo, tổ chức khoa học và công nghệ, nhà đầu tư và các chủ thể liên quan, qua đó nâng cao hiệu quả hoạt động đổi mới sáng tạo và chuyển giao công nghệ trên địa bàn tỉnh.</w:t>
      </w:r>
    </w:p>
    <w:p w14:paraId="44D23254">
      <w:pPr>
        <w:pStyle w:val="4"/>
        <w:rPr>
          <w:color w:val="000000" w:themeColor="text1"/>
          <w14:textFill>
            <w14:solidFill>
              <w14:schemeClr w14:val="tx1"/>
            </w14:solidFill>
          </w14:textFill>
        </w:rPr>
      </w:pPr>
      <w:bookmarkStart w:id="51" w:name="_Toc233183640"/>
      <w:r>
        <w:rPr>
          <w:color w:val="000000" w:themeColor="text1"/>
          <w14:textFill>
            <w14:solidFill>
              <w14:schemeClr w14:val="tx1"/>
            </w14:solidFill>
          </w14:textFill>
        </w:rPr>
        <w:t>1.5. Phát triển ĐMST theo hướng tập trung, có trọng tâm, trọng điểm</w:t>
      </w:r>
      <w:bookmarkEnd w:id="51"/>
    </w:p>
    <w:p w14:paraId="4EE1A9D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Tỉnh ưu tiên phát triển hệ sinh thái ĐMST theo hướng có trọng tâm, trọng điểm, tập trung nguồn lực cho các lĩnh vực có lợi thế cạnh tranh, phù hợp với định hướng phát triển kinh tế - xã hội và xu hướng công nghệ mới. Việc tập trung nguồn lực nhằm hình thành các cụm liên kết đổi mới sáng tạo, thúc đẩy chuyển giao công nghệ, nâng cao năng lực cạnh tranh của doanh nghiệp và tạo động lực tăng trưởng mới dựa trên khoa học, công nghệ và ĐMST.</w:t>
      </w:r>
    </w:p>
    <w:p w14:paraId="423E6BF6">
      <w:pPr>
        <w:pStyle w:val="4"/>
        <w:rPr>
          <w:color w:val="000000" w:themeColor="text1"/>
          <w14:textFill>
            <w14:solidFill>
              <w14:schemeClr w14:val="tx1"/>
            </w14:solidFill>
          </w14:textFill>
        </w:rPr>
      </w:pPr>
      <w:bookmarkStart w:id="52" w:name="_Toc233183641"/>
      <w:r>
        <w:rPr>
          <w:color w:val="000000" w:themeColor="text1"/>
          <w14:textFill>
            <w14:solidFill>
              <w14:schemeClr w14:val="tx1"/>
            </w14:solidFill>
          </w14:textFill>
        </w:rPr>
        <w:t>1.6. Doanh nghiệp là trung tâm, thị trường là động lực của ĐMST</w:t>
      </w:r>
      <w:bookmarkEnd w:id="52"/>
    </w:p>
    <w:p w14:paraId="6FC08CB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Doanh nghiệp là chủ thể trung tâm của hệ sinh thái ĐMST và là nơi chuyển hóa công nghệ thành giá trị kinh tế. Nhà nước giữ vai trò kiến tạo thể chế, định hướng và hỗ trợ hình thành môi trường thuận lợi cho ĐMST; đồng thời khuyến khích doanh nghiệp đầu tư cho nghiên cứu – phát triển, đổi mới công nghệ, chuyển đổi số và liên kết với viện trường, startup và các tổ chức trung gian.</w:t>
      </w:r>
    </w:p>
    <w:p w14:paraId="48E2315A">
      <w:pPr>
        <w:pStyle w:val="4"/>
        <w:rPr>
          <w:color w:val="000000" w:themeColor="text1"/>
          <w14:textFill>
            <w14:solidFill>
              <w14:schemeClr w14:val="tx1"/>
            </w14:solidFill>
          </w14:textFill>
        </w:rPr>
      </w:pPr>
      <w:bookmarkStart w:id="53" w:name="_Toc233183642"/>
      <w:r>
        <w:rPr>
          <w:color w:val="000000" w:themeColor="text1"/>
          <w14:textFill>
            <w14:solidFill>
              <w14:schemeClr w14:val="tx1"/>
            </w14:solidFill>
          </w14:textFill>
        </w:rPr>
        <w:t>1.7. Nguồn nhân lực khoa học, công nghệ và ĐMST là yếu tố quyết định, sức mạnh nội sinh của hệ sinh thái</w:t>
      </w:r>
      <w:bookmarkEnd w:id="53"/>
    </w:p>
    <w:p w14:paraId="288C157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Nguồn nhân lực khoa học, công nghệ và ĐMST là yếu tố quyết định năng lực phát triển dài hạn của hệ sinh thái ĐMST. Tỉnh ưu tiên phát triển nguồn nhân lực chất lượng cao gắn với nhu cầu của doanh nghiệp và các ngành kinh tế trọng điểm; đồng thời tăng cường liên kết giữa cơ sở đào tạo, cơ sở nghiên cứu và doanh nghiệp, tạo môi trường thuận lợi để thu hút, phát triển và sử dụng hiệu quả đội ngũ chuyên gia, nhà khoa học và nhân lực công nghệ.</w:t>
      </w:r>
    </w:p>
    <w:p w14:paraId="28C3C9D6">
      <w:pPr>
        <w:pStyle w:val="4"/>
        <w:rPr>
          <w:color w:val="000000" w:themeColor="text1"/>
          <w:sz w:val="26"/>
          <w:szCs w:val="26"/>
          <w:lang w:val="vi-VN"/>
          <w14:textFill>
            <w14:solidFill>
              <w14:schemeClr w14:val="tx1"/>
            </w14:solidFill>
          </w14:textFill>
        </w:rPr>
      </w:pPr>
      <w:r>
        <w:rPr>
          <w:color w:val="000000" w:themeColor="text1"/>
          <w14:textFill>
            <w14:solidFill>
              <w14:schemeClr w14:val="tx1"/>
            </w14:solidFill>
          </w14:textFill>
        </w:rPr>
        <w:t>1.</w:t>
      </w:r>
      <w:r>
        <w:rPr>
          <w:rFonts w:hint="default"/>
          <w:color w:val="000000" w:themeColor="text1"/>
          <w:lang w:val="en-GB"/>
          <w14:textFill>
            <w14:solidFill>
              <w14:schemeClr w14:val="tx1"/>
            </w14:solidFill>
          </w14:textFill>
        </w:rPr>
        <w:t>8</w:t>
      </w:r>
      <w:r>
        <w:rPr>
          <w:color w:val="000000" w:themeColor="text1"/>
          <w14:textFill>
            <w14:solidFill>
              <w14:schemeClr w14:val="tx1"/>
            </w14:solidFill>
          </w14:textFill>
        </w:rPr>
        <w:t xml:space="preserve">. Phát triển hệ sinh thái </w:t>
      </w:r>
      <w:r>
        <w:rPr>
          <w:color w:val="000000" w:themeColor="text1"/>
          <w:lang w:val="en-GB"/>
          <w14:textFill>
            <w14:solidFill>
              <w14:schemeClr w14:val="tx1"/>
            </w14:solidFill>
          </w14:textFill>
        </w:rPr>
        <w:t>Đ</w:t>
      </w:r>
      <w:r>
        <w:rPr>
          <w:rFonts w:hint="default"/>
          <w:color w:val="000000" w:themeColor="text1"/>
          <w:lang w:val="en-GB"/>
          <w14:textFill>
            <w14:solidFill>
              <w14:schemeClr w14:val="tx1"/>
            </w14:solidFill>
          </w14:textFill>
        </w:rPr>
        <w:t>MST</w:t>
      </w:r>
      <w:r>
        <w:rPr>
          <w:color w:val="000000" w:themeColor="text1"/>
          <w14:textFill>
            <w14:solidFill>
              <w14:schemeClr w14:val="tx1"/>
            </w14:solidFill>
          </w14:textFill>
        </w:rPr>
        <w:t xml:space="preserve"> theo hướng mở, liên kết vùng và hội nhập quốc tế</w:t>
      </w:r>
    </w:p>
    <w:p w14:paraId="1616FDB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Phát triển hệ sinh thái </w:t>
      </w:r>
      <w:r>
        <w:rPr>
          <w:color w:val="000000" w:themeColor="text1"/>
          <w:sz w:val="26"/>
          <w:szCs w:val="26"/>
          <w:lang w:val="en-GB"/>
          <w14:textFill>
            <w14:solidFill>
              <w14:schemeClr w14:val="tx1"/>
            </w14:solidFill>
          </w14:textFill>
        </w:rPr>
        <w:t>Đ</w:t>
      </w:r>
      <w:r>
        <w:rPr>
          <w:rFonts w:hint="default"/>
          <w:color w:val="000000" w:themeColor="text1"/>
          <w:sz w:val="26"/>
          <w:szCs w:val="26"/>
          <w:lang w:val="en-GB"/>
          <w14:textFill>
            <w14:solidFill>
              <w14:schemeClr w14:val="tx1"/>
            </w14:solidFill>
          </w14:textFill>
        </w:rPr>
        <w:t>MST</w:t>
      </w:r>
      <w:r>
        <w:rPr>
          <w:color w:val="000000" w:themeColor="text1"/>
          <w:sz w:val="26"/>
          <w:szCs w:val="26"/>
          <w:lang w:val="vi-VN"/>
          <w14:textFill>
            <w14:solidFill>
              <w14:schemeClr w14:val="tx1"/>
            </w14:solidFill>
          </w14:textFill>
        </w:rPr>
        <w:t xml:space="preserve"> theo hướng mở, liên kết vùng và hội nhập quốc tế; phát huy lợi thế vị trí địa lý của Ninh Bình trong Vùng Đồng bằng sông Hồng nhằm tăng cường kết nối với các trung tâm khoa học, công nghệ, đổi mới sáng tạo, đào tạo, doanh nghiệp và nhà đầu tư trong nước và quốc tế.</w:t>
      </w:r>
    </w:p>
    <w:p w14:paraId="211FA8C2">
      <w:pPr>
        <w:pStyle w:val="3"/>
        <w:rPr>
          <w:color w:val="000000" w:themeColor="text1"/>
          <w14:textFill>
            <w14:solidFill>
              <w14:schemeClr w14:val="tx1"/>
            </w14:solidFill>
          </w14:textFill>
        </w:rPr>
      </w:pPr>
      <w:bookmarkStart w:id="54" w:name="_Toc233183643"/>
      <w:r>
        <w:rPr>
          <w:color w:val="000000" w:themeColor="text1"/>
          <w14:textFill>
            <w14:solidFill>
              <w14:schemeClr w14:val="tx1"/>
            </w14:solidFill>
          </w14:textFill>
        </w:rPr>
        <w:t>II. TẦM NHÌN ĐẾN NĂM 2030</w:t>
      </w:r>
      <w:bookmarkEnd w:id="54"/>
    </w:p>
    <w:p w14:paraId="5699D4FF">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Đến năm 2030, Ninh Bình trở thành địa phương có hệ sinh thái đổi mới sáng tạo phát triển, liên kết chặt chẽ và vận hành hiệu quả, đóng vai trò là một trong những trung tâm đổi mới sáng tạo năng động của khu vực phía Nam Đồng bằng sông Hồng. Hệ sinh thái ĐMST của tỉnh được hình thành trên nền tảng liên kết hiệu quả giữa doanh nghiệp, cơ sở giáo dục – đào tạo, tổ chức khoa học và công nghệ, nhà đầu tư, chuyên gia và cơ quan quản lý nhà nước; trong đó doanh nghiệp giữ vai trò trung tâm của hoạt động đổi mới sáng tạo.</w:t>
      </w:r>
    </w:p>
    <w:p w14:paraId="668D0F27">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Khoa học, công nghệ, đổi mới sáng tạo và chuyển đổi số trở thành động lực quan trọng thúc đẩy tăng trưởng kinh tế, nâng cao năng suất, chất lượng và năng lực cạnh tranh của doanh nghiệp, đồng thời tạo ra các mô hình kinh doanh, sản phẩm, dịch vụ và ngành kinh tế mới có giá trị gia tăng cao. Các lợi thế của tỉnh về công nghiệp chế biến, chế tạo, kinh tế di sản, du lịch, khoa học sự sống, công nghệ cao và nguồn nhân lực được kết nối hiệu quả thông qua hệ sinh thái ĐMST, góp phần thúc đẩy chuyển dịch mô hình tăng trưởng theo hướng dựa trên tri thức, công nghệ và đổi mới sáng tạo.</w:t>
      </w:r>
    </w:p>
    <w:p w14:paraId="4C8B472D">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Ninh Bình phấn đấu trở thành địa phương có môi trường thuận lợi cho đổi mới sáng tạo, khởi nghiệp sáng tạo, nghiên cứu, ứng dụng và chuyển giao công nghệ; là điểm đến hấp dẫn đối với doanh nghiệp công nghệ, chuyên gia, nhà khoa học và các nguồn lực đổi mới sáng tạo trong nước và quốc tế, đóng góp tích cực vào mục tiêu phát triển nhanh và bền vững của tỉnh trong giai đoạn mới.</w:t>
      </w:r>
    </w:p>
    <w:p w14:paraId="1636546E">
      <w:pPr>
        <w:pStyle w:val="3"/>
        <w:rPr>
          <w:color w:val="000000" w:themeColor="text1"/>
          <w14:textFill>
            <w14:solidFill>
              <w14:schemeClr w14:val="tx1"/>
            </w14:solidFill>
          </w14:textFill>
        </w:rPr>
      </w:pPr>
      <w:bookmarkStart w:id="55" w:name="_Toc233183644"/>
      <w:r>
        <w:rPr>
          <w:color w:val="000000" w:themeColor="text1"/>
          <w14:textFill>
            <w14:solidFill>
              <w14:schemeClr w14:val="tx1"/>
            </w14:solidFill>
          </w14:textFill>
        </w:rPr>
        <w:t>III. MỤC TIÊU</w:t>
      </w:r>
      <w:bookmarkEnd w:id="55"/>
    </w:p>
    <w:p w14:paraId="3D51B396">
      <w:pPr>
        <w:pStyle w:val="4"/>
        <w:rPr>
          <w:color w:val="000000" w:themeColor="text1"/>
          <w14:textFill>
            <w14:solidFill>
              <w14:schemeClr w14:val="tx1"/>
            </w14:solidFill>
          </w14:textFill>
        </w:rPr>
      </w:pPr>
      <w:bookmarkStart w:id="56" w:name="_Toc233183645"/>
      <w:r>
        <w:rPr>
          <w:color w:val="000000" w:themeColor="text1"/>
          <w14:textFill>
            <w14:solidFill>
              <w14:schemeClr w14:val="tx1"/>
            </w14:solidFill>
          </w14:textFill>
        </w:rPr>
        <w:t>3.1. Mục tiêu tổng quát</w:t>
      </w:r>
      <w:bookmarkEnd w:id="56"/>
    </w:p>
    <w:p w14:paraId="0263611B">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Xây dựng hệ sinh thái ĐMST tỉnh Ninh Bình đồng bộ, liên kết và vận hành hiệu quả; lấy doanh nghiệp làm trung tâm, khoa học, công nghệ, đổi mới sáng tạo và chuyển đổi số làm động lực phát triển. Thúc đẩy nghiên cứu, ứng dụng, chuyển giao công nghệ và thương mại hóa kết quả nghiên cứu; nâng cao năng lực đổi mới sáng tạo của doanh nghiệp, phát triển nguồn nhân lực chất lượng cao và hình thành các động lực tăng trưởng mới, góp phần phát triển kinh tế - xã hội nhanh và bền vững của tỉnh.</w:t>
      </w:r>
    </w:p>
    <w:p w14:paraId="3990F398">
      <w:pPr>
        <w:pStyle w:val="4"/>
        <w:rPr>
          <w:color w:val="000000" w:themeColor="text1"/>
          <w14:textFill>
            <w14:solidFill>
              <w14:schemeClr w14:val="tx1"/>
            </w14:solidFill>
          </w14:textFill>
        </w:rPr>
      </w:pPr>
      <w:bookmarkStart w:id="57" w:name="_Toc233183646"/>
      <w:r>
        <w:rPr>
          <w:color w:val="000000" w:themeColor="text1"/>
          <w14:textFill>
            <w14:solidFill>
              <w14:schemeClr w14:val="tx1"/>
            </w14:solidFill>
          </w14:textFill>
        </w:rPr>
        <w:t>3.2. Mục tiêu cụ thể</w:t>
      </w:r>
      <w:bookmarkEnd w:id="57"/>
    </w:p>
    <w:p w14:paraId="08DDDD33">
      <w:pPr>
        <w:pStyle w:val="55"/>
        <w:tabs>
          <w:tab w:val="left" w:pos="720"/>
          <w:tab w:val="left" w:pos="990"/>
        </w:tabs>
        <w:spacing w:before="120" w:line="312" w:lineRule="auto"/>
        <w:ind w:left="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ab/>
      </w:r>
      <w:r>
        <w:rPr>
          <w:b/>
          <w:bCs/>
          <w:color w:val="000000" w:themeColor="text1"/>
          <w:sz w:val="26"/>
          <w:szCs w:val="26"/>
          <w:lang w:val="vi-VN"/>
          <w14:textFill>
            <w14:solidFill>
              <w14:schemeClr w14:val="tx1"/>
            </w14:solidFill>
          </w14:textFill>
        </w:rPr>
        <w:t>Về phát triển hệ sinh thái ĐMST</w:t>
      </w:r>
    </w:p>
    <w:p w14:paraId="427BA2E0">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Hình thành và đưa vào vận hành Trung tâm Đổi mới sáng tạo tỉnh Ninh Bình theo hướng trở thành hạt nhân điều phối, kết nối và dẫn dắt hệ sinh thái ĐMST của tỉnh; từng bước nâng cao vai trò liên kết vùng và kết nối các nguồn lực đổi mới sáng tạo trong nước và quốc tế.</w:t>
      </w:r>
    </w:p>
    <w:p w14:paraId="1C2451CE">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Hình thành và phát triển các trung tâm ĐMST chuyên ngành gắn với lợi thế phát triển của tỉnh, ưu tiên:</w:t>
      </w:r>
    </w:p>
    <w:p w14:paraId="38630AED">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Trung tâm Đổi mới sáng tạo AI, Điện tử - Bán dẫn, Robot và công nghệ cao;</w:t>
      </w:r>
    </w:p>
    <w:p w14:paraId="4AA6FDB0">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Trung tâm Đổi mới sáng tạo Công nghiệp văn hóa và du lịch;</w:t>
      </w:r>
    </w:p>
    <w:p w14:paraId="2196244E">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Trung tâm Đổi mới sáng tạo Khoa học sự sống, </w:t>
      </w:r>
      <w:r>
        <w:rPr>
          <w:rFonts w:hint="default"/>
          <w:color w:val="000000" w:themeColor="text1"/>
          <w:sz w:val="26"/>
          <w:szCs w:val="26"/>
          <w:lang w:val="en-GB"/>
          <w14:textFill>
            <w14:solidFill>
              <w14:schemeClr w14:val="tx1"/>
            </w14:solidFill>
          </w14:textFill>
        </w:rPr>
        <w:t>c</w:t>
      </w:r>
      <w:r>
        <w:rPr>
          <w:color w:val="000000" w:themeColor="text1"/>
          <w:sz w:val="26"/>
          <w:szCs w:val="26"/>
          <w:lang w:val="vi-VN"/>
          <w14:textFill>
            <w14:solidFill>
              <w14:schemeClr w14:val="tx1"/>
            </w14:solidFill>
          </w14:textFill>
        </w:rPr>
        <w:t xml:space="preserve">ông nghệ sinh học và </w:t>
      </w:r>
      <w:r>
        <w:rPr>
          <w:rFonts w:hint="default"/>
          <w:color w:val="000000" w:themeColor="text1"/>
          <w:sz w:val="26"/>
          <w:szCs w:val="26"/>
          <w:lang w:val="en-GB"/>
          <w14:textFill>
            <w14:solidFill>
              <w14:schemeClr w14:val="tx1"/>
            </w14:solidFill>
          </w14:textFill>
        </w:rPr>
        <w:t>d</w:t>
      </w:r>
      <w:r>
        <w:rPr>
          <w:color w:val="000000" w:themeColor="text1"/>
          <w:sz w:val="26"/>
          <w:szCs w:val="26"/>
          <w:lang w:val="vi-VN"/>
          <w14:textFill>
            <w14:solidFill>
              <w14:schemeClr w14:val="tx1"/>
            </w14:solidFill>
          </w14:textFill>
        </w:rPr>
        <w:t xml:space="preserve">ược phẩm - </w:t>
      </w:r>
      <w:r>
        <w:rPr>
          <w:rFonts w:hint="default"/>
          <w:color w:val="000000" w:themeColor="text1"/>
          <w:sz w:val="26"/>
          <w:szCs w:val="26"/>
          <w:lang w:val="en-GB"/>
          <w14:textFill>
            <w14:solidFill>
              <w14:schemeClr w14:val="tx1"/>
            </w14:solidFill>
          </w14:textFill>
        </w:rPr>
        <w:t>d</w:t>
      </w:r>
      <w:r>
        <w:rPr>
          <w:color w:val="000000" w:themeColor="text1"/>
          <w:sz w:val="26"/>
          <w:szCs w:val="26"/>
          <w:lang w:val="vi-VN"/>
          <w14:textFill>
            <w14:solidFill>
              <w14:schemeClr w14:val="tx1"/>
            </w14:solidFill>
          </w14:textFill>
        </w:rPr>
        <w:t>ược liệu.</w:t>
      </w:r>
    </w:p>
    <w:p w14:paraId="13425535">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Hình thành mạng lưới 20–30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tại các khu công nghiệp, cơ sở giáo dục, trung tâm dịch vụ, cộng đồng doanh nghiệp và các tổ chức hỗ trợ khoa học công nghệ, ĐMST trên địa bàn tỉnh.</w:t>
      </w:r>
    </w:p>
    <w:p w14:paraId="72CB9490">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Hình thành và vận hành tối thiểu 01 cơ chế hỗ trợ đầu tư, quỹ hỗ trợ hoặc mô hình đồng đầu tư cho hoạt động ĐMST và khởi nghiệp sáng tạo theo quy định của pháp luật và phù hợp khả năng cân đối ngân sách địa phương.</w:t>
      </w:r>
    </w:p>
    <w:p w14:paraId="070F4F01">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Hình thành từ 05–07 tổ chức trung gian hỗ trợ hệ sinh thái ĐMST, bao gồm vườn ươm doanh nghiệp, tổ chức thúc đẩy kinh doanh, trung tâm hỗ trợ chuyển giao công nghệ, không gian làm việc chung và các tổ chức hỗ trợ ĐMST khác.</w:t>
      </w:r>
    </w:p>
    <w:p w14:paraId="7156820C">
      <w:pPr>
        <w:pStyle w:val="55"/>
        <w:tabs>
          <w:tab w:val="left" w:pos="720"/>
          <w:tab w:val="left" w:pos="990"/>
        </w:tabs>
        <w:spacing w:before="120" w:line="312" w:lineRule="auto"/>
        <w:ind w:left="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ab/>
      </w:r>
      <w:r>
        <w:rPr>
          <w:b/>
          <w:bCs/>
          <w:color w:val="000000" w:themeColor="text1"/>
          <w:sz w:val="26"/>
          <w:szCs w:val="26"/>
          <w:lang w:val="vi-VN"/>
          <w14:textFill>
            <w14:solidFill>
              <w14:schemeClr w14:val="tx1"/>
            </w14:solidFill>
          </w14:textFill>
        </w:rPr>
        <w:t>Về doanh nghiệp và hoạt động ĐMST</w:t>
      </w:r>
    </w:p>
    <w:p w14:paraId="1EC7F867">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Phấn đấu có trên 40% doanh nghiệp trên địa bàn tỉnh triển khai các hoạt động ĐMST, chuyển đổi số hoặc ứng dụng công nghệ mới trong sản xuất, kinh doanh và quản trị doanh nghiệp.</w:t>
      </w:r>
    </w:p>
    <w:p w14:paraId="78914C6C">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Hỗ trợ hình thành và phát triển tối thiểu 150 doanh nghiệp khởi nghiệp sáng tạo, doanh nghiệp khoa học và công nghệ, doanh nghiệp đổi mới sáng tạo và các dự án khởi nghiệp tiềm năng hoạt động trên địa bàn tỉnh.</w:t>
      </w:r>
    </w:p>
    <w:p w14:paraId="792DD699">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Có tối thiểu 30% doanh nghiệp thực hiện đổi mới quy trình, mô hình kinh doanh hoặc ứng dụng công nghệ số trong quản trị, sản xuất và kinh doanh.</w:t>
      </w:r>
    </w:p>
    <w:p w14:paraId="6E8EA616">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Hỗ trợ thương mại hóa tối thiểu 50 sản phẩm, giải pháp công nghệ hoặc mô hình kinh doanh ĐMST; hỗ trợ tối thiểu 30 dự án ĐMST, chuyển đổi số hoặc ứng dụng công nghệ có tiềm năng phát triển.</w:t>
      </w:r>
    </w:p>
    <w:p w14:paraId="71869998">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Thu hút từ 01–02 trung tâm R&amp;D của doanh nghiệp trong nước hoặc quốc tế đầu tư và hoạt động tại tỉnh.</w:t>
      </w:r>
    </w:p>
    <w:p w14:paraId="53BF42F2">
      <w:pPr>
        <w:pStyle w:val="55"/>
        <w:tabs>
          <w:tab w:val="left" w:pos="720"/>
          <w:tab w:val="left" w:pos="990"/>
        </w:tabs>
        <w:spacing w:before="120" w:line="312" w:lineRule="auto"/>
        <w:ind w:left="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ab/>
      </w:r>
      <w:r>
        <w:rPr>
          <w:b/>
          <w:bCs/>
          <w:color w:val="000000" w:themeColor="text1"/>
          <w:sz w:val="26"/>
          <w:szCs w:val="26"/>
          <w:lang w:val="vi-VN"/>
          <w14:textFill>
            <w14:solidFill>
              <w14:schemeClr w14:val="tx1"/>
            </w14:solidFill>
          </w14:textFill>
        </w:rPr>
        <w:t>Về khoa học, công nghệ và chuyển giao công nghệ</w:t>
      </w:r>
    </w:p>
    <w:p w14:paraId="6B7818F3">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Tốc độ tăng số lượng đơn đăng ký sáng chế, giải pháp hữu ích và văn bằng bảo hộ sở hữu trí tuệ đạt trung bình từ 10–12%/năm; từng bước nâng cao tỷ lệ khai thác và thương mại hóa tài sản trí tuệ.</w:t>
      </w:r>
    </w:p>
    <w:p w14:paraId="796216B6">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Hình thành mạng lưới liên kết giữa doanh nghiệp, cơ sở giáo dục, tổ chức khoa học và công nghệ nhằm thúc đẩy nghiên cứu ứng dụng, chuyển giao công nghệ, phát triển nguồn nhân lực và nâng cao năng lực ĐMST của doanh nghiệp.</w:t>
      </w:r>
    </w:p>
    <w:p w14:paraId="430E4EA9">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Có tối thiểu 25% doanh nghiệp nhỏ và vừa tham gia các hoạt động hợp tác nghiên cứu, đổi mới công nghệ hoặc chuyển giao công nghệ với các cơ sở nghiên cứu, cơ sở giáo dục và tổ chức khoa học và công nghệ.</w:t>
      </w:r>
    </w:p>
    <w:p w14:paraId="16EC7DB1">
      <w:pPr>
        <w:pStyle w:val="55"/>
        <w:tabs>
          <w:tab w:val="left" w:pos="720"/>
          <w:tab w:val="left" w:pos="990"/>
        </w:tabs>
        <w:spacing w:before="120" w:line="312" w:lineRule="auto"/>
        <w:ind w:left="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ab/>
      </w:r>
      <w:r>
        <w:rPr>
          <w:b/>
          <w:bCs/>
          <w:color w:val="000000" w:themeColor="text1"/>
          <w:sz w:val="26"/>
          <w:szCs w:val="26"/>
          <w:lang w:val="vi-VN"/>
          <w14:textFill>
            <w14:solidFill>
              <w14:schemeClr w14:val="tx1"/>
            </w14:solidFill>
          </w14:textFill>
        </w:rPr>
        <w:t>Về nguồn nhân lực và năng lực hệ sinh thái</w:t>
      </w:r>
    </w:p>
    <w:p w14:paraId="099EB00B">
      <w:pPr>
        <w:pStyle w:val="55"/>
        <w:numPr>
          <w:ilvl w:val="0"/>
          <w:numId w:val="4"/>
        </w:numPr>
        <w:tabs>
          <w:tab w:val="left" w:pos="720"/>
          <w:tab w:val="left" w:pos="990"/>
          <w:tab w:val="clear" w:pos="420"/>
        </w:tabs>
        <w:spacing w:before="120" w:line="312" w:lineRule="auto"/>
        <w:ind w:left="0" w:firstLine="463" w:firstLineChars="184"/>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Thu hút và mở rộng sự tham gia của các trường đại học, cơ sở giáo dục nghề nghiệp, viện nghiên cứu và các tổ chức đào tạo chất lượng cao trong phát triển nguồn nhân lực phục vụ các ngành kinh tế trọng điểm và các lĩnh vực công nghệ ưu tiên của tỉnh.</w:t>
      </w:r>
    </w:p>
    <w:p w14:paraId="27D44713">
      <w:pPr>
        <w:pStyle w:val="55"/>
        <w:numPr>
          <w:ilvl w:val="0"/>
          <w:numId w:val="4"/>
        </w:numPr>
        <w:tabs>
          <w:tab w:val="left" w:pos="720"/>
          <w:tab w:val="left" w:pos="990"/>
          <w:tab w:val="clear" w:pos="420"/>
        </w:tabs>
        <w:spacing w:before="120" w:line="312" w:lineRule="auto"/>
        <w:ind w:left="0" w:firstLine="463" w:firstLineChars="184"/>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Hình thành mạng lưới chuyên gia, cố vấn, mentor và đối tác hỗ trợ ĐMST; triển khai các chương trình đào tạo, bồi dưỡng năng lực về ĐMST, chuyển đổi số, quản trị công nghệ và khởi nghiệp sáng tạo cho cán bộ quản lý, doanh nghiệp và cộng đồng khởi nghiệp.</w:t>
      </w:r>
    </w:p>
    <w:p w14:paraId="15B77CC5">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Xây dựng cộng đồng ĐMST mở; thúc đẩy văn hóa đổi mới sáng tạo, tinh thần khởi nghiệp và học tập suốt đời trong doanh nghiệp, cơ sở giáo dục và xã hội.</w:t>
      </w:r>
    </w:p>
    <w:p w14:paraId="3B3A5561">
      <w:pPr>
        <w:pStyle w:val="55"/>
        <w:tabs>
          <w:tab w:val="left" w:pos="720"/>
          <w:tab w:val="left" w:pos="990"/>
        </w:tabs>
        <w:spacing w:before="120" w:line="312" w:lineRule="auto"/>
        <w:ind w:left="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ab/>
      </w:r>
      <w:r>
        <w:rPr>
          <w:b/>
          <w:bCs/>
          <w:color w:val="000000" w:themeColor="text1"/>
          <w:sz w:val="26"/>
          <w:szCs w:val="26"/>
          <w:lang w:val="vi-VN"/>
          <w14:textFill>
            <w14:solidFill>
              <w14:schemeClr w14:val="tx1"/>
            </w14:solidFill>
          </w14:textFill>
        </w:rPr>
        <w:t>Về chỉ số và vị thế ĐMST của tỉnh</w:t>
      </w:r>
    </w:p>
    <w:p w14:paraId="47EA2C7A">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Phấn đấu Chỉ số đổi mới sáng tạo cấp địa phương (PII) của tỉnh nằm trong nhóm 10 địa phương dẫn đầu cả nước vào năm 2030.</w:t>
      </w:r>
    </w:p>
    <w:p w14:paraId="7DB90DAC">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Duy trì nhóm địa phương dẫn đầu về cải cách hành chính, chuyển đổi số và ứng dụng khoa học, công nghệ trong quản trị và điều hành.</w:t>
      </w:r>
    </w:p>
    <w:p w14:paraId="3F4E7905">
      <w:pPr>
        <w:pStyle w:val="55"/>
        <w:numPr>
          <w:ilvl w:val="0"/>
          <w:numId w:val="4"/>
        </w:numPr>
        <w:tabs>
          <w:tab w:val="left" w:pos="720"/>
          <w:tab w:val="left" w:pos="990"/>
          <w:tab w:val="clear" w:pos="420"/>
        </w:tabs>
        <w:spacing w:before="120" w:line="312" w:lineRule="auto"/>
        <w:ind w:left="0" w:firstLine="478" w:firstLineChars="184"/>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Tỷ trọng đóng góp của năng suất các nhân tố tổng hợp (TFP) vào tăng trưởng GRDP đạt trên 57%; khoa học, công nghệ, đổi mới sáng tạo và kinh tế số trở thành động lực quan trọng thúc đẩy tăng trưởng kinh tế của tỉnh.</w:t>
      </w:r>
    </w:p>
    <w:p w14:paraId="4085801F">
      <w:pPr>
        <w:pStyle w:val="2"/>
        <w:spacing w:before="120" w:line="312" w:lineRule="auto"/>
        <w:jc w:val="center"/>
        <w:rPr>
          <w:color w:val="000000" w:themeColor="text1"/>
          <w:lang w:val="vi-VN"/>
          <w14:textFill>
            <w14:solidFill>
              <w14:schemeClr w14:val="tx1"/>
            </w14:solidFill>
          </w14:textFill>
        </w:rPr>
      </w:pPr>
      <w:bookmarkStart w:id="58" w:name="_Toc233183647"/>
      <w:r>
        <w:rPr>
          <w:color w:val="000000" w:themeColor="text1"/>
          <w:lang w:val="vi-VN"/>
          <w14:textFill>
            <w14:solidFill>
              <w14:schemeClr w14:val="tx1"/>
            </w14:solidFill>
          </w14:textFill>
        </w:rPr>
        <w:t>PHẦN V – CẤU PHẦN, NHIỆM VỤ VÀ GIẢI PHÁP</w:t>
      </w:r>
      <w:bookmarkEnd w:id="58"/>
    </w:p>
    <w:p w14:paraId="5C90EDCA">
      <w:pPr>
        <w:pStyle w:val="3"/>
        <w:rPr>
          <w:color w:val="000000" w:themeColor="text1"/>
          <w14:textFill>
            <w14:solidFill>
              <w14:schemeClr w14:val="tx1"/>
            </w14:solidFill>
          </w14:textFill>
        </w:rPr>
      </w:pPr>
      <w:bookmarkStart w:id="59" w:name="_Toc233183648"/>
      <w:r>
        <w:rPr>
          <w:color w:val="000000" w:themeColor="text1"/>
          <w14:textFill>
            <w14:solidFill>
              <w14:schemeClr w14:val="tx1"/>
            </w14:solidFill>
          </w14:textFill>
        </w:rPr>
        <w:t>I. ĐỊNH HƯỚNG GIẢI PHÁP</w:t>
      </w:r>
      <w:bookmarkEnd w:id="59"/>
    </w:p>
    <w:p w14:paraId="3EFF57F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Hệ sinh thái ĐMST tỉnh Ninh Bình được định hướng phát triển theo mô hình tích hợp, trong đó các cấu phần về hạ tầng thử nghiệm, điều phối hệ sinh thái, phát triển công nghệ và kết nối nguồn lực được tổ chức thành một hệ thống thống nhất, có khả năng hình thành các chu trình đổi mới hoàn chỉnh từ nghiên cứu, phát triển công nghệ đến thương mại hóa sản phẩm và tạo ra giá trị kinh tế bền vững cho địa phương.</w:t>
      </w:r>
    </w:p>
    <w:p w14:paraId="64DF7D8B">
      <w:pPr>
        <w:spacing w:before="120" w:line="312" w:lineRule="auto"/>
        <w:ind w:firstLine="720"/>
        <w:rPr>
          <w:color w:val="000000" w:themeColor="text1"/>
          <w:spacing w:val="-4"/>
          <w:sz w:val="26"/>
          <w:szCs w:val="26"/>
          <w:lang w:val="vi-VN"/>
          <w14:textFill>
            <w14:solidFill>
              <w14:schemeClr w14:val="tx1"/>
            </w14:solidFill>
          </w14:textFill>
        </w:rPr>
      </w:pPr>
      <w:r>
        <w:rPr>
          <w:b/>
          <w:bCs/>
          <w:color w:val="000000" w:themeColor="text1"/>
          <w:spacing w:val="-4"/>
          <w:sz w:val="26"/>
          <w:szCs w:val="26"/>
          <w:lang w:val="vi-VN"/>
          <w14:textFill>
            <w14:solidFill>
              <w14:schemeClr w14:val="tx1"/>
            </w14:solidFill>
          </w14:textFill>
        </w:rPr>
        <w:t>Thứ nhất, hình thành một không gian phát triển tích hợp đóng vai trò nền tảng cho hệ sinh thái</w:t>
      </w:r>
    </w:p>
    <w:p w14:paraId="6CE02844">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Không gian này không chỉ là nơi sinh sống mà cần được định hình như một nền tảng công nghệ số và môi trường thử nghiệm cho các giải pháp ĐMST. Trên cơ sở đó, các hệ thống như du lịch thông minh, giao thông thông minh và chính quyền số được triển khai đồng bộ, tạo ra nguồn dữ liệu thực, môi trường vận hành thực và điều kiện kiểm chứng thực tế cho các công nghệ mới. Việc hình thành một không gian như vậy sẽ góp phần thu hẹp khoảng cách giữa nghiên cứu và ứng dụng, đồng thời tạo sức hút đối với doanh nghiệp công nghệ, nhà đầu tư và nguồn nhân lực chất lượng cao, qua đó đặt nền móng cho toàn bộ hệ sinh thái ĐMST của tỉnh.</w:t>
      </w:r>
    </w:p>
    <w:p w14:paraId="6E75B2AF">
      <w:pPr>
        <w:spacing w:before="120" w:line="312"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Thứ hai, thiết lập một thiết chế trung tâm có vai trò kết nối và điều phối toàn bộ hệ sinh thái, thông qua việc xây dựng Trung tâm ĐMST tỉnh Ninh Bình</w:t>
      </w:r>
    </w:p>
    <w:p w14:paraId="3454D8B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Thiết chế này đóng vai trò là đầu mối kết nối các chủ thể trong hệ sinh thái, bao gồm Nhà nước, cơ sở đào tạo, doanh nghiệp, nhà đầu tư và cộng đồng, đồng thời tổ chức và điều phối các hoạt động ĐMST theo chuỗi, từ đào tạo, nghiên cứu đến ươm tạo và phát triển doanh nghiệp. Trên cơ sở đó, hình thành mạng lưới các điểm ĐMST và vườn ươm theo các lĩnh vực chuyên biệt, đóng vai trò “</w:t>
      </w:r>
      <w:r>
        <w:rPr>
          <w:i/>
          <w:iCs/>
          <w:color w:val="000000" w:themeColor="text1"/>
          <w:sz w:val="26"/>
          <w:szCs w:val="26"/>
          <w:lang w:val="vi-VN"/>
          <w14:textFill>
            <w14:solidFill>
              <w14:schemeClr w14:val="tx1"/>
            </w14:solidFill>
          </w14:textFill>
        </w:rPr>
        <w:t>trạm trung chuyển</w:t>
      </w:r>
      <w:r>
        <w:rPr>
          <w:color w:val="000000" w:themeColor="text1"/>
          <w:sz w:val="26"/>
          <w:szCs w:val="26"/>
          <w:lang w:val="vi-VN"/>
          <w14:textFill>
            <w14:solidFill>
              <w14:schemeClr w14:val="tx1"/>
            </w14:solidFill>
          </w14:textFill>
        </w:rPr>
        <w:t>” để tiếp nhận, phát triển và thương mại hóa các ý tưởng đổi mới. Các vườn ươm được tổ chức theo hướng kết hợp giữa khu vực công và khu vực tư, vừa phục vụ các mục tiêu phát triển của tỉnh trong các lĩnh vực như du lịch, nông nghiệp công nghệ cao, kinh tế xanh, kinh tế tuần hoàn, vừa thúc đẩy các dự án có tính chuyên môn hóa cao trong các lĩnh vực công nghệ mới. Thông qua đó, thiết chế trung tâm không chỉ kết nối các nguồn lực mà còn dẫn dắt sự hình thành các chuỗi giá trị ĐMST trong toàn tỉnh.</w:t>
      </w:r>
    </w:p>
    <w:p w14:paraId="3609AE2E">
      <w:pPr>
        <w:spacing w:before="120" w:line="312" w:lineRule="auto"/>
        <w:ind w:firstLine="720"/>
        <w:rPr>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Thứ ba, hình thành các cực đổi mới sáng tạo chuyên ngành làm động lực tăng trưởng mới của tỉnh.</w:t>
      </w:r>
    </w:p>
    <w:p w14:paraId="2C6BF72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ĐMST chỉ thực sự tạo ra tác động lan tỏa khi được gắn kết chặt chẽ với các ngành kinh tế có lợi thế cạnh tranh và tiềm năng phát triển của địa phương. Vì vậy, bên cạnh việc xây dựng Trung tâm Đổi mới sáng tạo tỉnh đóng vai trò hạt nhân điều phối hệ sinh thái, tỉnh cần phát triển hệ thống các trung tâm ĐMST chuyên ngành theo mô hình “một trung tâm hạt nhân – nhiều trung tâm vệ tinh”, qua đó hình thành các cực ĐMST gắn với các trục phát triển kinh tế chủ lực.</w:t>
      </w:r>
    </w:p>
    <w:p w14:paraId="44F6325E">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Các trung tâm chuyên ngành được định hướng phát triển theo hướng vừa là không gian nghiên cứu ứng dụng, thử nghiệm công nghệ và ươm tạo doanh nghiệp, vừa là nền tảng kết nối giữa doanh nghiệp, cơ sở đào tạo, viện nghiên cứu, chuyên gia, nhà đầu tư và thị trường. Trên cơ sở đó, từng bước hình thành các chuỗi ĐMST theo ngành, từ nghiên cứu, phát triển công nghệ, thử nghiệm giải pháp đến thương mại hóa sản phẩm và mở rộng thị trường.</w:t>
      </w:r>
    </w:p>
    <w:p w14:paraId="33F722C1">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Trọng tâm trước mắt là phát triển bốn lĩnh vực có tiềm năng dẫn dắt hệ sinh thái ĐMST của tỉnh, bao gồm: (i) AI, bán dẫn, robot và sản xuất thông minh gắn với các khu công nghiệp công nghệ cao và hệ sinh thái điện tử; (ii) công nghiệp văn hóa, kinh tế di sản và du lịch thông minh dựa trên lợi thế nổi trội về tài nguyên văn hóa và du lịch; (iii) khoa học sự sống, công nghệ sinh học và các sản phẩm có nguồn gốc sinh học dựa trên lợi thế về đa dạng sinh học; và (iv) dược phẩm, dược liệu gắn với nguồn tài nguyên bản địa và các doanh nghiệp dược phẩm hiện có trên địa bàn tỉnh.</w:t>
      </w:r>
    </w:p>
    <w:p w14:paraId="2AFD2174">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Thông qua các trung tâm chuyên ngành này, tỉnh hướng tới phát triển năng lực công nghệ lõi, thúc đẩy hình thành cộng đồng doanh nghiệp ĐMST, tăng cường liên kết giữa khu vực nghiên cứu và sản xuất, đồng thời nâng cao khả năng tham gia của doanh nghiệp địa phương vào các chuỗi giá trị có hàm lượng công nghệ và giá trị gia tăng cao. Đây sẽ là các cực tăng trưởng mới dựa trên tri thức, công nghệ và sáng tạo, đóng vai trò lan tỏa năng lực ĐMST sang toàn bộ nền kinh tế địa phương.</w:t>
      </w:r>
    </w:p>
    <w:p w14:paraId="4BF922BA">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Trên cơ sở ba định hướng nêu trên, hệ sinh thái ĐMST của tỉnh được phát triển và vận hành theo một chu trình khép kín, trong đó tri thức và công nghệ được hình thành từ hệ thống đào tạo và nghiên cứu, được phát triển thông qua các hoạt động ươm tạo và doanh nghiệp, được thử nghiệm và triển khai trong môi trường đô thị thông minh, và tiếp tục tạo ra dữ liệu, nhu cầu và động lực cho các chu kỳ đổi mới tiếp theo. Cơ chế này bảo đảm các thành phần của hệ sinh thái không tồn tại độc lập mà liên tục tương tác và bổ trợ lẫn nhau, qua đó nâng cao hiệu quả tổng thể và tạo ra các động lực phát triển mới cho tỉnh.</w:t>
      </w:r>
    </w:p>
    <w:p w14:paraId="2FB60D44">
      <w:pPr>
        <w:pStyle w:val="3"/>
        <w:rPr>
          <w:color w:val="000000" w:themeColor="text1"/>
          <w14:textFill>
            <w14:solidFill>
              <w14:schemeClr w14:val="tx1"/>
            </w14:solidFill>
          </w14:textFill>
        </w:rPr>
      </w:pPr>
      <w:bookmarkStart w:id="60" w:name="_Toc233183649"/>
      <w:r>
        <w:rPr>
          <w:color w:val="000000" w:themeColor="text1"/>
          <w14:textFill>
            <w14:solidFill>
              <w14:schemeClr w14:val="tx1"/>
            </w14:solidFill>
          </w14:textFill>
        </w:rPr>
        <w:t>II. CẤU PHẦN HỆ SINH THÁI ĐMST TỈNH NINH BÌNH</w:t>
      </w:r>
      <w:bookmarkEnd w:id="60"/>
    </w:p>
    <w:p w14:paraId="7627BF6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Hệ sinh thái ĐMST tỉnh Ninh Bình được thiết kế theo mô hình ĐMST mở, lấy Trung tâm ĐMST hạt nhân làm cơ quan đầu não, kết nối với các điểm hỗ trợ khởi nghiệp và ĐMST chuyên ngành phân bố trên địa bàn tỉnh, hình thành một các Trung tâm ĐMST để tạo nền tảng phát triển cho hệ sinh thái. </w:t>
      </w:r>
    </w:p>
    <w:p w14:paraId="6DE76447">
      <w:pPr>
        <w:pStyle w:val="4"/>
        <w:rPr>
          <w:color w:val="000000" w:themeColor="text1"/>
          <w:lang w:val="en-GB"/>
          <w14:textFill>
            <w14:solidFill>
              <w14:schemeClr w14:val="tx1"/>
            </w14:solidFill>
          </w14:textFill>
        </w:rPr>
      </w:pPr>
      <w:bookmarkStart w:id="61" w:name="_Toc233183650"/>
      <w:r>
        <w:rPr>
          <w:color w:val="000000" w:themeColor="text1"/>
          <w14:textFill>
            <w14:solidFill>
              <w14:schemeClr w14:val="tx1"/>
            </w14:solidFill>
          </w14:textFill>
        </w:rPr>
        <w:t xml:space="preserve">2.1. Hạ tầng và không gian </w:t>
      </w:r>
      <w:r>
        <w:rPr>
          <w:color w:val="000000" w:themeColor="text1"/>
          <w:lang w:val="en-GB"/>
          <w14:textFill>
            <w14:solidFill>
              <w14:schemeClr w14:val="tx1"/>
            </w14:solidFill>
          </w14:textFill>
        </w:rPr>
        <w:t>ĐMST</w:t>
      </w:r>
      <w:bookmarkEnd w:id="61"/>
    </w:p>
    <w:p w14:paraId="60FEF41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Hạ tầng vật chất là nền móng không thể thiếu để hệ sinh thái </w:t>
      </w:r>
      <w:r>
        <w:rPr>
          <w:color w:val="000000" w:themeColor="text1"/>
          <w:sz w:val="26"/>
          <w:szCs w:val="26"/>
          <w:lang w:val="en-GB"/>
          <w14:textFill>
            <w14:solidFill>
              <w14:schemeClr w14:val="tx1"/>
            </w14:solidFill>
          </w14:textFill>
        </w:rPr>
        <w:t>ĐMST</w:t>
      </w:r>
      <w:r>
        <w:rPr>
          <w:color w:val="000000" w:themeColor="text1"/>
          <w:sz w:val="26"/>
          <w:szCs w:val="26"/>
          <w:lang w:val="vi-VN"/>
          <w14:textFill>
            <w14:solidFill>
              <w14:schemeClr w14:val="tx1"/>
            </w14:solidFill>
          </w14:textFill>
        </w:rPr>
        <w:t xml:space="preserve"> vận hành hiệu quả. Hệ sinh thái ĐMST tỉnh Ninh Bình được quy hoạch theo mô hình hạt nhân – vệ tinh, bao gồm Trung tâm hạt nhân và mạng lưới các điểm ĐMST chuyên ngành tại các địa bàn chiến lược.</w:t>
      </w:r>
    </w:p>
    <w:p w14:paraId="2FE74A1C">
      <w:pPr>
        <w:pStyle w:val="5"/>
        <w:rPr>
          <w:color w:val="000000" w:themeColor="text1"/>
          <w14:textFill>
            <w14:solidFill>
              <w14:schemeClr w14:val="tx1"/>
            </w14:solidFill>
          </w14:textFill>
        </w:rPr>
      </w:pPr>
      <w:bookmarkStart w:id="62" w:name="_Toc233183651"/>
      <w:r>
        <w:rPr>
          <w:color w:val="000000" w:themeColor="text1"/>
          <w14:textFill>
            <w14:solidFill>
              <w14:schemeClr w14:val="tx1"/>
            </w14:solidFill>
          </w14:textFill>
        </w:rPr>
        <w:t>2.1.1. Trung tâm ĐMST hạt nhân tỉnh Ninh Bình</w:t>
      </w:r>
      <w:bookmarkEnd w:id="62"/>
      <w:r>
        <w:rPr>
          <w:color w:val="000000" w:themeColor="text1"/>
          <w14:textFill>
            <w14:solidFill>
              <w14:schemeClr w14:val="tx1"/>
            </w14:solidFill>
          </w14:textFill>
        </w:rPr>
        <w:t xml:space="preserve"> </w:t>
      </w:r>
    </w:p>
    <w:p w14:paraId="5712E4A5">
      <w:pPr>
        <w:spacing w:before="120" w:line="312" w:lineRule="auto"/>
        <w:ind w:firstLine="720"/>
        <w:rPr>
          <w:rFonts w:hint="default"/>
          <w:color w:val="000000" w:themeColor="text1"/>
          <w:sz w:val="26"/>
          <w:szCs w:val="26"/>
          <w:lang w:val="en-GB"/>
          <w14:textFill>
            <w14:solidFill>
              <w14:schemeClr w14:val="tx1"/>
            </w14:solidFill>
          </w14:textFill>
        </w:rPr>
      </w:pPr>
      <w:r>
        <w:rPr>
          <w:color w:val="000000" w:themeColor="text1"/>
          <w:sz w:val="26"/>
          <w:szCs w:val="26"/>
          <w:lang w:val="vi-VN"/>
          <w14:textFill>
            <w14:solidFill>
              <w14:schemeClr w14:val="tx1"/>
            </w14:solidFill>
          </w14:textFill>
        </w:rPr>
        <w:t>Trung tâm ĐMST hạt nhân là đầu não điều phối toàn bộ hoạt động của hệ sinh thái, kết nối “5 nhà” (Nhà nước - Nhà trường - Doanh nghiệp - Nhà đầu tư - Cộng đồng) và đóng vai trò là địa chỉ đặt hàng, giải quyết các bài toán kinh tế – xã hội của tỉnh bằng các hoạt động ĐMST.</w:t>
      </w:r>
      <w:r>
        <w:rPr>
          <w:rFonts w:hint="default"/>
          <w:color w:val="000000" w:themeColor="text1"/>
          <w:sz w:val="26"/>
          <w:szCs w:val="26"/>
          <w:lang w:val="en-GB"/>
          <w14:textFill>
            <w14:solidFill>
              <w14:schemeClr w14:val="tx1"/>
            </w14:solidFill>
          </w14:textFill>
        </w:rPr>
        <w:t xml:space="preserve"> Bên cạnh vai trò điều phối các chủ thể trong tỉnh, Trung tâm ĐMST hạt nhân là đầu mối kết nối hệ sinh thái ĐMST của Ninh Bình với hệ sinh thái ĐMST quốc gia và các trung tâm khoa học, công nghệ, đào tạo, ĐMST và công nghiệp của Vùng Đồng bằng sông Hồng và toàn quốc; qua đó thu hút chuyên gia, doanh nghiệp, nhà đầu tư, cơ sở đào tạo, viện nghiên cứu và các tổ chức hỗ trợ tham gia phát triển hệ sinh thái của tỉnh.</w:t>
      </w:r>
    </w:p>
    <w:p w14:paraId="0ADA6AEE">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Các hạng mục cơ sở vật chất chính của Trung tâm hạt nhân bao gồm:</w:t>
      </w:r>
    </w:p>
    <w:p w14:paraId="7844EFE5">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Không gian làm việc chung với sức chứa tối thiểu 200 chỗ làm việc linh hoạt, phục vụ các startup, freelancer công nghệ và nhóm nghiên cứu;</w:t>
      </w:r>
    </w:p>
    <w:p w14:paraId="07B41051">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Khu vực phòng hội thảo, hội nghị đa năng với quy mô 50–500 người, tích hợp hệ thống trực tuyến để tổ chức sự kiện quốc tế;</w:t>
      </w:r>
    </w:p>
    <w:p w14:paraId="21E2AB1A">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Khu trưng bày và giới thiệu sản phẩm ĐMST, công nghệ, là nơi kết nối doanh nghiệp với nhà đầu tư và thị trường;</w:t>
      </w:r>
    </w:p>
    <w:p w14:paraId="0FCAB65A">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Phòng Lab thực hành công nghệ đa năng trang bị thiết bị in 3D, máy CNC, dụng cụ điện tử và các công cụ chế tạo nhanh;</w:t>
      </w:r>
    </w:p>
    <w:p w14:paraId="6EC24D1F">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Khu văn phòng dành riêng cho các đơn vị hỗ trợ hệ sinh thái (quỹ đầu tư, tổ chức tăng tốc, cơ quan hỗ trợ doanh nghiệp) và các đối tác chiến lược;</w:t>
      </w:r>
    </w:p>
    <w:p w14:paraId="2F158178">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Khu vực nghỉ ngơi, căn tin, không gian xanh đảm bảo môi trường làm việc sáng tạo, thân thiện và đẳng cấp quốc tế.</w:t>
      </w:r>
    </w:p>
    <w:p w14:paraId="67149EF3">
      <w:pPr>
        <w:pStyle w:val="5"/>
        <w:rPr>
          <w:color w:val="000000" w:themeColor="text1"/>
          <w14:textFill>
            <w14:solidFill>
              <w14:schemeClr w14:val="tx1"/>
            </w14:solidFill>
          </w14:textFill>
        </w:rPr>
      </w:pPr>
      <w:bookmarkStart w:id="63" w:name="_Toc233183652"/>
      <w:r>
        <w:rPr>
          <w:color w:val="000000" w:themeColor="text1"/>
          <w14:textFill>
            <w14:solidFill>
              <w14:schemeClr w14:val="tx1"/>
            </w14:solidFill>
          </w14:textFill>
        </w:rPr>
        <w:t>2.1.2. Hệ thống các Trung tâm ĐMST chuyên ngành</w:t>
      </w:r>
      <w:bookmarkEnd w:id="63"/>
      <w:r>
        <w:rPr>
          <w:color w:val="000000" w:themeColor="text1"/>
          <w14:textFill>
            <w14:solidFill>
              <w14:schemeClr w14:val="tx1"/>
            </w14:solidFill>
          </w14:textFill>
        </w:rPr>
        <w:t xml:space="preserve"> </w:t>
      </w:r>
    </w:p>
    <w:p w14:paraId="1D22BFA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Song song với Trung tâm ĐMST hạt nhân, hệ sinh thái ĐMST của Ninh Bình cần hình thành hệ thống các Trung tâm ĐMST chuyên ngành, được tổ chức như các vườn ươm chuyên sâu và không gian thử nghiệm công nghệ, đặt tại các địa bàn chiến lược gắn với lợi thế đặc thù của tỉnh. Các trung tâm này đóng vai trò là các cực phát triển chuyên ngành trong hệ sinh thái, vừa tiếp nhận các ý tưởng ĐMST, vừa triển khai thử nghiệm và phát triển các giải pháp công nghệ theo từng lĩnh vực ưu tiên.</w:t>
      </w:r>
    </w:p>
    <w:p w14:paraId="591E0D74">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Các trung tâm chuyên ngành không vận hành độc lập mà được kết nối chặt chẽ với Trung tâm hạt nhân, tạo thành một mạng lưới thống nhất, trong đó:</w:t>
      </w:r>
    </w:p>
    <w:p w14:paraId="70F6FB0C">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Trung tâm hạt nhân thực hiện chức năng điều phối, kết nối nguồn lực và dẫn dắt chiến lược.</w:t>
      </w:r>
    </w:p>
    <w:p w14:paraId="4E09E861">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Các trung tâm chuyên ngành thực hiện chức năng triển khai chuyên sâu, ươm tạo và thử nghiệm công nghệ.</w:t>
      </w:r>
    </w:p>
    <w:p w14:paraId="6D24B62A">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Các doanh nghiệp, cơ sở đào tạo và tổ chức nghiên cứu tham gia trực tiếp vào từng trung tâm theo lĩnh vực tương ứng.</w:t>
      </w:r>
    </w:p>
    <w:p w14:paraId="346D5CCC">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Trên cơ sở đó, hình thành các chuỗi ĐMST theo ngành, từ nghiên cứu, phát triển công nghệ đến ứng dụng và thương mại hóa sản phẩm.</w:t>
      </w:r>
    </w:p>
    <w:p w14:paraId="628DDB65">
      <w:pPr>
        <w:spacing w:before="120" w:line="312" w:lineRule="auto"/>
        <w:ind w:firstLine="720"/>
        <w:rPr>
          <w:b/>
          <w:bCs/>
          <w:i/>
          <w:iCs/>
          <w:color w:val="000000" w:themeColor="text1"/>
          <w:sz w:val="26"/>
          <w:szCs w:val="26"/>
          <w:lang w:val="vi-VN"/>
          <w14:textFill>
            <w14:solidFill>
              <w14:schemeClr w14:val="tx1"/>
            </w14:solidFill>
          </w14:textFill>
        </w:rPr>
      </w:pPr>
      <w:r>
        <w:rPr>
          <w:b/>
          <w:bCs/>
          <w:i/>
          <w:iCs/>
          <w:color w:val="000000" w:themeColor="text1"/>
          <w:sz w:val="26"/>
          <w:szCs w:val="26"/>
          <w:lang w:val="vi-VN"/>
          <w14:textFill>
            <w14:solidFill>
              <w14:schemeClr w14:val="tx1"/>
            </w14:solidFill>
          </w14:textFill>
        </w:rPr>
        <w:t>(1) Trung tâm ĐMST AI, Bán dẫn và Robot hình người và công nghệ cao</w:t>
      </w:r>
    </w:p>
    <w:p w14:paraId="772690F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ĐMST AI, Bán dẫn, Robot hình người và công nghệ cao được định hướng phát triển tại Khu Công nghệ cao Hà Nam và Khu Đại học Nam Cao, đây là một trong những không gian ĐMST trọng điểm của tỉnh Ninh Bình trong giai đoạn 2026–2030. Khu vực này có lợi thế nổi bật về vị trí địa lý, hạ tầng kỹ thuật đồng bộ, quỹ đất phát triển lớn, khả năng kết nối giao thông thuận lợi và tiềm năng thu hút các dự án công nghệ cao, trung tâm nghiên cứu phát triển, doanh nghiệp đổi mới sáng tạo cũng như nguồn nhân lực chất lượng cao.</w:t>
      </w:r>
    </w:p>
    <w:p w14:paraId="1D9588A4">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Việc hình thành Trung tâm xuất phát từ yêu cầu thực tiễn trong bối cảnh Ninh Bình đang tập trung nhiều doanh nghiệp điện tử, cơ khí chính xác và sản xuất công nghệ cao như Quanta, Wistron, Qisda, Hyundai Thành Công… Tuy nhiên, sự liên kết giữa khu vực doanh nghiệp FDI với hệ thống đào tạo, doanh nghiệp công nghệ và startup địa phương hiện còn hạn chế; hoạt động nghiên cứu ứng dụng, thử nghiệm công nghệ và phát triển sản phẩm công nghệ cao chưa hình thành rõ nét. Trong khi đó, các xu hướng công nghệ mới như AI, bán dẫn, robot và tự động hóa đang tạo ra nhu cầu rất lớn về nhân lực, công nghệ và hệ sinh thái hỗ trợ.</w:t>
      </w:r>
    </w:p>
    <w:p w14:paraId="0CA7B4C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Trên cơ sở đó, Trung tâm được định hướng trở thành không gian nghiên cứu ứng dụng, thử nghiệm công nghệ, đào tạo nhân lực và hỗ trợ phát triển doanh nghiệp công nghệ trong các lĩnh vực AI, bán dẫn và robot thế hệ mới và các ngành công nghệ cao. Trung tâm đồng thời đóng vai trò kết nối giữa doanh nghiệp, trường đại học, phòng thí nghiệm, startup và chuyên gia công nghệ nhằm thúc đẩy quá trình chuyển giao công nghệ và hình thành chuỗi giá trị công nghệ tại địa phương.</w:t>
      </w:r>
    </w:p>
    <w:p w14:paraId="18CDF3E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Các chức năng trọng tâm của Trung tâm gồm:</w:t>
      </w:r>
    </w:p>
    <w:p w14:paraId="3013C48F">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Ươm tạo và hỗ trợ phát triển doanh nghiệp công nghệ trong các lĩnh vực AI, bán dẫn, robot và sản xuất thông minh; </w:t>
      </w:r>
    </w:p>
    <w:p w14:paraId="0168664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Triển khai nghiên cứu ứng dụng, thử nghiệm và kiểm chứng công nghệ trong điều kiện thực tế; </w:t>
      </w:r>
    </w:p>
    <w:p w14:paraId="1D28CB2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Kết nối doanh nghiệp FDI, cơ sở đào tạo, phòng thí nghiệm và doanh nghiệp công nghệ nhằm phát triển nguồn nhân lực và hệ sinh thái công nghệ; </w:t>
      </w:r>
    </w:p>
    <w:p w14:paraId="410729D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Hỗ trợ doanh nghiệp địa phương tham gia sâu hơn vào chuỗi cung ứng và chuỗi giá trị của các ngành công nghệ cao. </w:t>
      </w:r>
    </w:p>
    <w:p w14:paraId="4ADD97DA">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Về hạ tầng kỹ thuật, Trung tâm được định hướng phát triển theo mô hình mở với các cấu phần như:</w:t>
      </w:r>
    </w:p>
    <w:p w14:paraId="32176DE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Hệ thống trang thiết bị phục vụ thử nghiệm và kiểm chứng giải pháp công nghệ; </w:t>
      </w:r>
    </w:p>
    <w:p w14:paraId="47DFD304">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Phòng thí nghiệm đóng gói và kiểm thử chip bán dẫn; </w:t>
      </w:r>
    </w:p>
    <w:p w14:paraId="70AF1EB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Không gian ươm tạo phần cứng và phát triển sản phẩm công nghệ; </w:t>
      </w:r>
    </w:p>
    <w:p w14:paraId="093A194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Không gian nghiên cứu ứng dụng AI, robot và tự động hóa trong sản xuất và dịch vụ. </w:t>
      </w:r>
    </w:p>
    <w:p w14:paraId="14E8F863">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Thông qua Trung tâm này, tỉnh hướng tới từng bước hình thành năng lực công nghệ lõi, phát triển nguồn nhân lực kỹ thuật chất lượng cao và thúc đẩy hình thành cộng đồng doanh nghiệp công nghệ tại địa phương. Đồng thời, đây cũng sẽ là hạt nhân lan tỏa năng lực ĐMST sang các lĩnh vực khác của nền kinh tế như công nghiệp chế biến, logistics, du lịch thông minh và dịch vụ số.</w:t>
      </w:r>
    </w:p>
    <w:p w14:paraId="488DB2E6">
      <w:pPr>
        <w:spacing w:before="120" w:line="312" w:lineRule="auto"/>
        <w:ind w:firstLine="720"/>
        <w:rPr>
          <w:b/>
          <w:bCs/>
          <w:i/>
          <w:iCs/>
          <w:color w:val="000000" w:themeColor="text1"/>
          <w:sz w:val="26"/>
          <w:szCs w:val="26"/>
          <w:lang w:val="vi-VN"/>
          <w14:textFill>
            <w14:solidFill>
              <w14:schemeClr w14:val="tx1"/>
            </w14:solidFill>
          </w14:textFill>
        </w:rPr>
      </w:pPr>
      <w:r>
        <w:rPr>
          <w:b/>
          <w:bCs/>
          <w:i/>
          <w:iCs/>
          <w:color w:val="000000" w:themeColor="text1"/>
          <w:sz w:val="26"/>
          <w:szCs w:val="26"/>
          <w:lang w:val="vi-VN"/>
          <w14:textFill>
            <w14:solidFill>
              <w14:schemeClr w14:val="tx1"/>
            </w14:solidFill>
          </w14:textFill>
        </w:rPr>
        <w:t>(2) Trung tâm ĐMST Du lịch - công nghiệp văn hóa</w:t>
      </w:r>
    </w:p>
    <w:p w14:paraId="7F14FF96">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Công nghiệp văn hóa và Du lịch được thành lập theo Quyết định số 1974/QĐ-UBND ngày 01/6/2026 của UBND Tỉnh Ninh Bình: Thành lập Trung tâm hoặc không gian đổi mới sáng tạo du lịch - công nghiệp văn hoá; được định hướng phát triển tại khu vực gắn với Quần thể danh thắng Tràng An, chùa Bái Đính và các không gian văn hóa – di sản trọng điểm của tỉnh nhằm phát huy lợi thế nổi trội của Ninh Bình về du lịch, văn hóa và kinh tế di sản. Đây là trung tâm ĐMST chuyên ngành có vai trò thúc đẩy chuyển dịch từ mô hình phát triển du lịch dựa trên khai thác tài nguyên sang mô hình phát triển dựa trên sáng tạo, công nghệ và trải nghiệm giá trị cao.</w:t>
      </w:r>
    </w:p>
    <w:p w14:paraId="639E1C1F">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Trung tâm ĐMST Du lịch - công nghiệp văn hóa được định hướng trở thành không gian kết nối giữa công nghệ, văn hóa, sáng tạo và du lịch nhằm thúc đẩy nghiên cứu, phát triển và thử nghiệm các mô hình du lịch mới, sản phẩm văn hóa số và các dịch vụ sáng tạo có giá trị gia tăng cao. Trung tâm đồng thời đóng vai trò hỗ trợ doanh nghiệp, startup và cộng đồng sáng tạo tham gia phát triển các sản phẩm ứng dụng công nghệ trong lĩnh vực du lịch và công nghiệp văn hóa.</w:t>
      </w:r>
    </w:p>
    <w:p w14:paraId="43A9AA0D">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Về hạ tầng, Trung tâm được định hướng phát triển theo mô hình mở với các cấu phần như:</w:t>
      </w:r>
    </w:p>
    <w:p w14:paraId="5EED97E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Hệ thống thực tế ảo (VR), thực tế tăng cường (AR) và nền tảng trải nghiệm số phục vụ du lịch thông minh và số hóa di sản; </w:t>
      </w:r>
    </w:p>
    <w:p w14:paraId="5BEA4BD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Studio sản xuất nội dung số, điện ảnh, truyền thông và sản phẩm sáng tạo; </w:t>
      </w:r>
    </w:p>
    <w:p w14:paraId="466B8045">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Không gian sáng tạo và thử nghiệm sản phẩm văn hóa – du lịch; </w:t>
      </w:r>
    </w:p>
    <w:p w14:paraId="2524ADC3">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Hệ thống dữ liệu du lịch và nền tảng kết nối dịch vụ phục vụ phát triển hệ sinh thái du lịch thông minh. </w:t>
      </w:r>
    </w:p>
    <w:p w14:paraId="0B2ACB6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Thông qua Trung tâm này, tỉnh hướng tới từng bước hình thành hệ sinh thái công nghiệp văn hóa và du lịch thông minh có khả năng kết nối di sản, công nghệ và sáng tạo; thúc đẩy phát triển các sản phẩm du lịch chất lượng cao, nâng cao trải nghiệm du khách và gia tăng giá trị kinh tế của các tài nguyên văn hóa – di sản của tỉnh.</w:t>
      </w:r>
    </w:p>
    <w:p w14:paraId="39CB8F60">
      <w:pPr>
        <w:numPr>
          <w:ilvl w:val="0"/>
          <w:numId w:val="6"/>
        </w:numPr>
        <w:spacing w:before="120" w:line="312" w:lineRule="auto"/>
        <w:ind w:firstLine="720"/>
        <w:rPr>
          <w:b/>
          <w:bCs/>
          <w:i/>
          <w:iCs/>
          <w:color w:val="000000" w:themeColor="text1"/>
          <w:sz w:val="26"/>
          <w:szCs w:val="26"/>
          <w:lang w:val="vi-VN"/>
          <w14:textFill>
            <w14:solidFill>
              <w14:schemeClr w14:val="tx1"/>
            </w14:solidFill>
          </w14:textFill>
        </w:rPr>
      </w:pPr>
      <w:r>
        <w:rPr>
          <w:b/>
          <w:bCs/>
          <w:i/>
          <w:iCs/>
          <w:color w:val="000000" w:themeColor="text1"/>
          <w:sz w:val="26"/>
          <w:szCs w:val="26"/>
          <w:lang w:val="vi-VN"/>
          <w14:textFill>
            <w14:solidFill>
              <w14:schemeClr w14:val="tx1"/>
            </w14:solidFill>
          </w14:textFill>
        </w:rPr>
        <w:t>Trung tâm ĐMST Khoa học sự sống, Công nghệ sinh học và Dược phẩm – Dược liệu</w:t>
      </w:r>
    </w:p>
    <w:p w14:paraId="0884660A">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Trung tâm </w:t>
      </w:r>
      <w:r>
        <w:rPr>
          <w:color w:val="000000" w:themeColor="text1"/>
          <w:sz w:val="26"/>
          <w:szCs w:val="26"/>
          <w:lang w:val="en-GB"/>
          <w14:textFill>
            <w14:solidFill>
              <w14:schemeClr w14:val="tx1"/>
            </w14:solidFill>
          </w14:textFill>
        </w:rPr>
        <w:t>Đ</w:t>
      </w:r>
      <w:r>
        <w:rPr>
          <w:rFonts w:hint="default"/>
          <w:color w:val="000000" w:themeColor="text1"/>
          <w:sz w:val="26"/>
          <w:szCs w:val="26"/>
          <w:lang w:val="en-GB"/>
          <w14:textFill>
            <w14:solidFill>
              <w14:schemeClr w14:val="tx1"/>
            </w14:solidFill>
          </w14:textFill>
        </w:rPr>
        <w:t>MST</w:t>
      </w:r>
      <w:r>
        <w:rPr>
          <w:color w:val="000000" w:themeColor="text1"/>
          <w:sz w:val="26"/>
          <w:szCs w:val="26"/>
          <w:lang w:val="vi-VN"/>
          <w14:textFill>
            <w14:solidFill>
              <w14:schemeClr w14:val="tx1"/>
            </w14:solidFill>
          </w14:textFill>
        </w:rPr>
        <w:t xml:space="preserve"> Khoa học sự sống, Công nghệ sinh học và Dược phẩm – Dược liệu được định hướng phát triển tại khu vực gắn với vùng sinh thái Vân Long – Cúc Phương và mạng lưới doanh nghiệp dược phẩm trên địa bàn tỉnh nhằm phát huy lợi thế về đa dạng sinh học, nguồn dược liệu bản địa, hệ sinh thái tự nhiên đặc sắc và nền tảng công nghiệp dược đang hình thành tại Ninh Bình. Đây là trung tâm ĐMST chuyên ngành có vai trò kết nối nghiên cứu, phát triển công nghệ, kiểm nghiệm, tiêu chuẩn hóa, chuyển giao công nghệ và thương mại hóa sản phẩm trong lĩnh vực khoa học sự sống, công nghệ sinh học, dược phẩm và dược liệu.</w:t>
      </w:r>
    </w:p>
    <w:p w14:paraId="1C7EAA9D">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Ninh Bình có nhiều điều kiện thuận lợi để phát triển lĩnh vực khoa học sự sống, công nghệ sinh học và dược phẩm – dược liệu. Với hệ sinh thái tự nhiên đa dạng, nguồn gen và dược liệu phong phú tại Vườn quốc gia Cúc Phương và Khu bảo tồn thiên nhiên đất ngập nước Vân Long, cùng sự hiện diện của nhiều doanh nghiệp dược phẩm, thực phẩm bảo vệ sức khỏe và mỹ phẩm có quy mô lớn, tỉnh có tiềm năng hình thành chuỗi giá trị hoàn chỉnh từ nghiên cứu đến sản xuất và thương mại hóa sản phẩm. Tuy nhiên, hoạt động nghiên cứu, phát triển công nghệ, tiêu chuẩn hóa, kiểm nghiệm chất lượng và thương mại hóa các sản phẩm có nguồn gốc sinh học vẫn còn phân tán; sự liên kết giữa doanh nghiệp, cơ sở nghiên cứu, cơ sở đào tạo và vùng nguyên liệu chưa chặt chẽ; năng lực nghiên cứu ứng dụng, chuyển giao công nghệ và hỗ trợ doanh nghiệp còn hạn chế. Trên cơ sở đó, Trung tâm được định hướng trở thành đầu mối kết nối giữa nghiên cứu, sản xuất và thị trường, thúc đẩy hình thành chuỗi giá trị từ bảo tồn và phát triển nguồn tài nguyên sinh học, nghiên cứu và ứng dụng công nghệ sinh học, phát triển vùng nguyên liệu, kiểm nghiệm và tiêu chuẩn hóa đến phát triển sản phẩm và thương mại hóa; đồng thời hỗ trợ doanh nghiệp đổi mới công nghệ, nâng cao chất lượng sản phẩm, đáp ứng các tiêu chuẩn trong nước và quốc tế, góp phần phát triển ngành công nghiệp dược phẩm xanh và kinh tế sinh học trở thành một trong những lĩnh vực có giá trị gia tăng cao của tỉnh.</w:t>
      </w:r>
    </w:p>
    <w:p w14:paraId="694DE70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Các chức năng trọng tâm của Trung tâm gồm:</w:t>
      </w:r>
    </w:p>
    <w:p w14:paraId="402F493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Nghiên cứu ứng dụng, phát triển và chuyển giao công nghệ trong lĩnh vực khoa học sự sống, công nghệ sinh học, dược phẩm và dược liệu; </w:t>
      </w:r>
    </w:p>
    <w:p w14:paraId="3697429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Hỗ trợ doanh nghiệp nghiên cứu, phát triển, hoàn thiện và thương mại hóa các sản phẩm dược phẩm, thực phẩm bảo vệ sức khỏe, mỹ phẩm và chế phẩm sinh học có nguồn gốc tự nhiên; </w:t>
      </w:r>
    </w:p>
    <w:p w14:paraId="03882B7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Nghiên cứu, bảo tồn, tiêu chuẩn hóa và phát triển bền vững nguồn gen, cây thuốc nam và vùng nguyên liệu dược liệu của tỉnh; </w:t>
      </w:r>
    </w:p>
    <w:p w14:paraId="2B5043A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Hỗ trợ kiểm nghiệm, đánh giá chất lượng, xây dựng tiêu chuẩn, quy chuẩn kỹ thuật và sở hữu trí tuệ đối với dược liệu, thuốc, mỹ phẩm, thực phẩm và các sản phẩm sinh học; </w:t>
      </w:r>
    </w:p>
    <w:p w14:paraId="52DBEABD">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Kết nối doanh nghiệp với các cơ sở nghiên cứu, cơ sở đào tạo, cơ sở y tế, vùng nguyên liệu và các tổ chức trong nước, quốc tế nhằm thúc đẩy đổi mới công nghệ và hình thành chuỗi giá trị ngành; </w:t>
      </w:r>
    </w:p>
    <w:p w14:paraId="6DC84DF1">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z w:val="26"/>
          <w:szCs w:val="26"/>
          <w:lang w:val="vi-VN"/>
          <w14:textFill>
            <w14:solidFill>
              <w14:schemeClr w14:val="tx1"/>
            </w14:solidFill>
          </w14:textFill>
        </w:rPr>
        <w:t xml:space="preserve">Hỗ trợ đào tạo, phát triển nguồn nhân lực chất lượng cao trong lĩnh vực công nghệ sinh học, kiểm nghiệm và phát triển sản phẩm dược liệu. </w:t>
      </w:r>
    </w:p>
    <w:p w14:paraId="2F15F90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Về hạ tầng kỹ thuật, Trung tâm được định hướng phát triển theo mô hình tích hợp, bao gồm:</w:t>
      </w:r>
    </w:p>
    <w:p w14:paraId="04DCDFF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Phòng thí nghiệm nghiên cứu công nghệ sinh học, nuôi cấy mô, bảo tồn và phát triển nguồn gen; </w:t>
      </w:r>
    </w:p>
    <w:p w14:paraId="7F790B5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Hệ thống chiết xuất, tinh chế, phân tích hoạt chất và phát triển sản phẩm từ dược liệu, bao gồm các công nghệ chiết xuất tiên tiến; </w:t>
      </w:r>
    </w:p>
    <w:p w14:paraId="05430A8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Hệ thống kiểm nghiệm, đánh giá chất lượng dược liệu, thuốc, mỹ phẩm, thực phẩm và các sản phẩm sinh học theo các tiêu chuẩn quốc gia và quốc tế; </w:t>
      </w:r>
    </w:p>
    <w:p w14:paraId="73334FC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Không gian nghiên cứu, thử nghiệm, phát triển và hoàn thiện sản phẩm; khu trình diễn công nghệ và chuyển giao công nghệ cho doanh nghiệp; </w:t>
      </w:r>
    </w:p>
    <w:p w14:paraId="6D94749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Cơ sở dữ liệu số về nguồn gen, dược liệu, vùng nguyên liệu và các sản phẩm đặc hữu của tỉnh phục vụ nghiên cứu, quản lý và phát triển thị trường. </w:t>
      </w:r>
    </w:p>
    <w:p w14:paraId="3DB755F7">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Thông qua Trung tâm này, tỉnh hướng tới từng bước chuyển hóa lợi thế về đa dạng sinh học, nguồn dược liệu và công nghệ sinh học thành các sản phẩm có giá trị gia tăng cao; hình thành chuỗi giá trị từ nghiên cứu đến thương mại hóa; thúc đẩy phát triển cụm ngành khoa học sự sống, công nghệ sinh học và công nghiệp dược phẩm xanh gắn với phát triển kinh tế sinh học, chăm sóc sức khỏe cộng đồng và tăng trưởng bền vững.</w:t>
      </w:r>
    </w:p>
    <w:p w14:paraId="31419122">
      <w:pPr>
        <w:pStyle w:val="5"/>
        <w:rPr>
          <w:color w:val="000000" w:themeColor="text1"/>
          <w14:textFill>
            <w14:solidFill>
              <w14:schemeClr w14:val="tx1"/>
            </w14:solidFill>
          </w14:textFill>
        </w:rPr>
      </w:pPr>
      <w:bookmarkStart w:id="64" w:name="_Toc233183653"/>
      <w:r>
        <w:rPr>
          <w:color w:val="000000" w:themeColor="text1"/>
          <w14:textFill>
            <w14:solidFill>
              <w14:schemeClr w14:val="tx1"/>
            </w14:solidFill>
          </w14:textFill>
        </w:rPr>
        <w:t xml:space="preserve">2.1.3. Mạng lưới </w:t>
      </w:r>
      <w:bookmarkEnd w:id="64"/>
      <w:r>
        <w:rPr>
          <w:color w:val="000000" w:themeColor="text1"/>
          <w:lang w:val="en-GB"/>
          <w14:textFill>
            <w14:solidFill>
              <w14:schemeClr w14:val="tx1"/>
            </w14:solidFill>
          </w14:textFill>
        </w:rPr>
        <w:t>Không gian khởi nghiệp sáng tạo cộng đồng</w:t>
      </w:r>
      <w:r>
        <w:rPr>
          <w:color w:val="000000" w:themeColor="text1"/>
          <w14:textFill>
            <w14:solidFill>
              <w14:schemeClr w14:val="tx1"/>
            </w14:solidFill>
          </w14:textFill>
        </w:rPr>
        <w:t xml:space="preserve"> </w:t>
      </w:r>
    </w:p>
    <w:p w14:paraId="3B69947A">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Trong giai đoạn 2027–2030, các Trung tâm ĐMST của tỉnh Ninh Bình được định hướng mở rộng theo chiều sâu và chiều rộng thông qua việc hình thành mạng lưới các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của cộng đồng trên phạm vi toàn tỉnh, với mục tiêu từng bước triển khai tại </w:t>
      </w:r>
      <w:r>
        <w:rPr>
          <w:rFonts w:hint="default"/>
          <w:color w:val="000000" w:themeColor="text1"/>
          <w:sz w:val="26"/>
          <w:szCs w:val="26"/>
          <w:lang w:val="en-GB"/>
          <w14:textFill>
            <w14:solidFill>
              <w14:schemeClr w14:val="tx1"/>
            </w14:solidFill>
          </w14:textFill>
        </w:rPr>
        <w:t>ít nhất 5</w:t>
      </w:r>
      <w:r>
        <w:rPr>
          <w:color w:val="000000" w:themeColor="text1"/>
          <w:sz w:val="26"/>
          <w:szCs w:val="26"/>
          <w:lang w:val="vi-VN"/>
          <w14:textFill>
            <w14:solidFill>
              <w14:schemeClr w14:val="tx1"/>
            </w14:solidFill>
          </w14:textFill>
        </w:rPr>
        <w:t>0% đơn vị hành chính cấp xã, phường, trước mắt ưu tiên triển khai thí điểm tại các xã đạt chuẩn nông thôn mới nâng cao, kiểu mẫu hoặc các xã có làng nghề truyền thống. Đây là lớp nền quan trọng của hệ sinh thái ĐMST, có vai trò đưa hoạt động ĐMST tiếp cận trực tiếp đến cộng đồng, đồng thời tạo nguồn đầu vào liên tục cho các tầng hỗ trợ cao hơn.</w:t>
      </w:r>
    </w:p>
    <w:p w14:paraId="5C71EA77">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Mỗi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được thiết kế như một điểm tiếp cận cơ bản nhưng thiết thực đối với người dân, thanh niên, doanh nghiệp nhỏ và các nhóm khởi nghiệp, với cấu hình tối thiểu bao gồm:</w:t>
      </w:r>
    </w:p>
    <w:p w14:paraId="193CCD2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Hệ thống máy tính kết nối Internet tốc độ cao, bảo đảm khả năng tiếp cận thông tin và các nền tảng số </w:t>
      </w:r>
    </w:p>
    <w:p w14:paraId="4C97C0B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Không gian linh hoạt để tổ chức các hoạt động quy mô nhỏ như hội thảo, đào tạo, kết nối cộng đồng </w:t>
      </w:r>
    </w:p>
    <w:p w14:paraId="74C8FB0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Bộ tài liệu và công cụ hướng dẫn về khởi nghiệp, ĐMST và phát triển ý tưởng </w:t>
      </w:r>
    </w:p>
    <w:p w14:paraId="5D523CFD">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Trên nền tảng đó, các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không chỉ đóng vai trò là không gian vật lý, mà còn là điểm kết nối số, được tích hợp trực tiếp với nền tảng điều hành hệ sinh thái ĐMST của tỉnh. Thông qua kết nối trực tuyến với hệ thống này, các Hub có thể:</w:t>
      </w:r>
    </w:p>
    <w:p w14:paraId="36FA97D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Tiếp cận các chương trình đào tạo, tư vấn và hỗ trợ ĐMST từ cấp tỉnh </w:t>
      </w:r>
    </w:p>
    <w:p w14:paraId="469FFC74">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Kết nối với chuyên gia, doanh nghiệp và nhà đầu tư </w:t>
      </w:r>
    </w:p>
    <w:p w14:paraId="02A4D6D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Cập nhật thông tin về cơ hội hợp tác, thị trường và nguồn lực hỗ trợ </w:t>
      </w:r>
    </w:p>
    <w:p w14:paraId="08D1E041">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Về chức năng, các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đảm nhận ba vai trò chính:</w:t>
      </w:r>
    </w:p>
    <w:p w14:paraId="7694C64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Thứ nhất, là điểm phát hiện và khơi nguồn ý tưởng ĐMST trong cộng đồng. Thông qua các hoạt động truyền thông, đào tạo cơ bản và kết nối, Hub góp phần hình thành và lan tỏa tinh thần khởi nghiệp, khuyến khích người dân và doanh nghiệp nhỏ tham gia vào các hoạt động ĐMST.</w:t>
      </w:r>
    </w:p>
    <w:p w14:paraId="44885AA5">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Thứ hai, là cơ chế sàng lọc và nâng cấp ý tưởng. Các ý tưởng bước đầu được hình thành tại cộng đồng sẽ được hỗ trợ hoàn thiện, đánh giá sơ bộ và lựa chọn, trước khi được chuyển tiếp lên các cấp hỗ trợ cao hơn như các trung tâm chuyên ngành hoặc chương trình ươm tạo.</w:t>
      </w:r>
    </w:p>
    <w:p w14:paraId="3E0A3F0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Thứ ba, là cầu nối hai chiều giữa hệ sinh thái cấp tỉnh và cộng đồng. Hub không chỉ chuyển tải các chính sách, chương trình hỗ trợ xuống cơ sở, mà còn phản hồi nhu cầu thực tiễn, bài toán sản xuất – kinh doanh từ cộng đồng lên các cấp hoạch định và hỗ trợ, qua đó giúp hệ sinh thái vận hành sát với nhu cầu thực tế.</w:t>
      </w:r>
    </w:p>
    <w:p w14:paraId="2A2126F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Về cơ chế vận hành, mạng lưới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được tổ chức theo hướng:</w:t>
      </w:r>
    </w:p>
    <w:p w14:paraId="54E0C4BF">
      <w:pPr>
        <w:pStyle w:val="55"/>
        <w:numPr>
          <w:ilvl w:val="0"/>
          <w:numId w:val="5"/>
        </w:numPr>
        <w:tabs>
          <w:tab w:val="left" w:pos="720"/>
          <w:tab w:val="left" w:pos="990"/>
        </w:tabs>
        <w:spacing w:before="120" w:line="312" w:lineRule="auto"/>
        <w:ind w:left="0" w:firstLine="567"/>
        <w:rPr>
          <w:color w:val="000000" w:themeColor="text1"/>
          <w:spacing w:val="0"/>
          <w:sz w:val="26"/>
          <w:szCs w:val="26"/>
          <w:lang w:val="vi-VN"/>
          <w14:textFill>
            <w14:solidFill>
              <w14:schemeClr w14:val="tx1"/>
            </w14:solidFill>
          </w14:textFill>
        </w:rPr>
      </w:pPr>
      <w:r>
        <w:rPr>
          <w:color w:val="000000" w:themeColor="text1"/>
          <w:spacing w:val="0"/>
          <w:sz w:val="26"/>
          <w:szCs w:val="26"/>
          <w:lang w:val="vi-VN"/>
          <w14:textFill>
            <w14:solidFill>
              <w14:schemeClr w14:val="tx1"/>
            </w14:solidFill>
          </w14:textFill>
        </w:rPr>
        <w:t xml:space="preserve"> Tiêu chuẩn hóa mô hình cơ bản nhưng linh hoạt trong triển khai theo điều kiện từng địa phương;</w:t>
      </w:r>
    </w:p>
    <w:p w14:paraId="4DE8A64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Kết hợp giữa nguồn lực công và sự tham gia của các tổ chức xã hội, doanh nghiệp và cộng đồng;</w:t>
      </w:r>
    </w:p>
    <w:p w14:paraId="713F07C4">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Vận hành trên nền tảng số thống nhất để bảo đảm khả năng kết nối và quản trị tập trung.</w:t>
      </w:r>
    </w:p>
    <w:p w14:paraId="1A19E99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Thông qua mạng lưới các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này, hệ sinh thái ĐMST của tỉnh không chỉ tập trung ở các trung tâm cấp cao, mà được mở rộng đến cấp cơ sở, hình thành một cấu trúc nhiều tầng, trong đó các ý tưởng được hình thành từ cộng đồng có thể được phát hiện, nuôi dưỡng và phát triển theo một lộ trình rõ ràng. Mạng lưới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đóng vai trò như tầng đáy của hệ sinh thái ĐMST, bảo đảm tính bao trùm, liên tục và bền vững, đồng thời tạo ra dòng chảy ý tưởng và nguồn nhân lực ĐMST từ cơ sở lên các tầng phát triển cao hơn.</w:t>
      </w:r>
    </w:p>
    <w:p w14:paraId="6F22CAE0">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 xml:space="preserve">Để các </w:t>
      </w:r>
      <w:r>
        <w:rPr>
          <w:color w:val="000000" w:themeColor="text1"/>
          <w:spacing w:val="-6"/>
          <w:sz w:val="26"/>
          <w:szCs w:val="26"/>
          <w:lang w:val="en-GB"/>
          <w14:textFill>
            <w14:solidFill>
              <w14:schemeClr w14:val="tx1"/>
            </w14:solidFill>
          </w14:textFill>
        </w:rPr>
        <w:t>Không gian khởi nghiệp sáng tạo cộng đồng</w:t>
      </w:r>
      <w:r>
        <w:rPr>
          <w:color w:val="000000" w:themeColor="text1"/>
          <w:spacing w:val="-6"/>
          <w:sz w:val="26"/>
          <w:szCs w:val="26"/>
          <w:lang w:val="vi-VN"/>
          <w14:textFill>
            <w14:solidFill>
              <w14:schemeClr w14:val="tx1"/>
            </w14:solidFill>
          </w14:textFill>
        </w:rPr>
        <w:t xml:space="preserve"> hoạt động hiệu quả, từng bước thiết lập hệ thống chỉ số đánh giá (KPI) định kỳ cho các điểm (số lượng ý tưởng phát hiện, số buổi đào tạo, số doanh nghiệp nhỏ được tư vấn) để đảm bảo các điểm hoạt động thực chất, tránh tình trạng hình thức.</w:t>
      </w:r>
    </w:p>
    <w:p w14:paraId="24CDD3BC">
      <w:pPr>
        <w:pStyle w:val="4"/>
        <w:rPr>
          <w:color w:val="000000" w:themeColor="text1"/>
          <w14:textFill>
            <w14:solidFill>
              <w14:schemeClr w14:val="tx1"/>
            </w14:solidFill>
          </w14:textFill>
        </w:rPr>
      </w:pPr>
      <w:bookmarkStart w:id="65" w:name="_Toc233183654"/>
      <w:r>
        <w:rPr>
          <w:color w:val="000000" w:themeColor="text1"/>
          <w14:textFill>
            <w14:solidFill>
              <w14:schemeClr w14:val="tx1"/>
            </w14:solidFill>
          </w14:textFill>
        </w:rPr>
        <w:t>2.2. Nền tảng công nghệ và chương trình nội dung</w:t>
      </w:r>
      <w:bookmarkEnd w:id="65"/>
    </w:p>
    <w:p w14:paraId="07409D6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Nền tảng công nghệ là trục xương sống kết nối toàn bộ hệ sinh thái, đảm bảo hoạt động điều phối, quản lý và kết nối các bên liên quan diễn ra thông suốt, minh bạch và hiệu quả. Song song với hạ tầng kỹ thuật, các chương trình nội dung mang tính hệ thống là yếu tố tạo ra giá trị cốt lõi cho hệ sinh thái.</w:t>
      </w:r>
    </w:p>
    <w:p w14:paraId="54E3448B">
      <w:pPr>
        <w:pStyle w:val="5"/>
        <w:rPr>
          <w:color w:val="000000" w:themeColor="text1"/>
          <w14:textFill>
            <w14:solidFill>
              <w14:schemeClr w14:val="tx1"/>
            </w14:solidFill>
          </w14:textFill>
        </w:rPr>
      </w:pPr>
      <w:bookmarkStart w:id="66" w:name="_Toc233183655"/>
      <w:r>
        <w:rPr>
          <w:color w:val="000000" w:themeColor="text1"/>
          <w14:textFill>
            <w14:solidFill>
              <w14:schemeClr w14:val="tx1"/>
            </w14:solidFill>
          </w14:textFill>
        </w:rPr>
        <w:t>2.2.1. Nền tảng số hợp nhất – Ninh Binh Innovation Port</w:t>
      </w:r>
      <w:bookmarkEnd w:id="66"/>
    </w:p>
    <w:p w14:paraId="2DC97751">
      <w:pPr>
        <w:spacing w:before="120" w:line="312" w:lineRule="auto"/>
        <w:ind w:firstLine="720"/>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Ninh Bình xây dựng và vận hành nền tảng số tập trung mang tên “Ninh Binh Innovation Port” – đóng vai trò là hệ điều hành số toàn diện của hệ sinh thái ĐMST tỉnh Ninh Bình. </w:t>
      </w:r>
      <w:r>
        <w:rPr>
          <w:color w:val="000000" w:themeColor="text1"/>
          <w:sz w:val="26"/>
          <w:szCs w:val="26"/>
          <w14:textFill>
            <w14:solidFill>
              <w14:schemeClr w14:val="tx1"/>
            </w14:solidFill>
          </w14:textFill>
        </w:rPr>
        <w:t>Nền tảng này tích hợp các chức năng chính:</w:t>
      </w:r>
    </w:p>
    <w:p w14:paraId="24F32AB4">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US"/>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Hệ thống hồ sơ và theo dõi startup: Quản lý toàn trình từ giai đoạn ý tưởng, ươm tạo đến tăng tốc và ra thị trường; hỗ trợ kết nối startup với nhà đầu tư, tư vấn viên và đối tác;</w:t>
      </w:r>
    </w:p>
    <w:p w14:paraId="1FBA11C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Cơ sở dữ liệu hệ sinh thái: Tổng hợp thông tin về doanh nghiệp </w:t>
      </w:r>
      <w:r>
        <w:rPr>
          <w:color w:val="000000" w:themeColor="text1"/>
          <w:spacing w:val="-8"/>
          <w:sz w:val="26"/>
          <w:szCs w:val="26"/>
          <w:lang w:val="en-GB"/>
          <w14:textFill>
            <w14:solidFill>
              <w14:schemeClr w14:val="tx1"/>
            </w14:solidFill>
          </w14:textFill>
        </w:rPr>
        <w:t>ĐMST</w:t>
      </w:r>
      <w:r>
        <w:rPr>
          <w:color w:val="000000" w:themeColor="text1"/>
          <w:spacing w:val="-8"/>
          <w:sz w:val="26"/>
          <w:szCs w:val="26"/>
          <w:lang w:val="vi-VN"/>
          <w14:textFill>
            <w14:solidFill>
              <w14:schemeClr w14:val="tx1"/>
            </w14:solidFill>
          </w14:textFill>
        </w:rPr>
        <w:t xml:space="preserve"> , nhà đầu tư, chuyên gia, chương trình hỗ trợ, quỹ đầu tư và tổ chức hỗ trợ trung gian trên địa bàn tỉnh và trong mạng lưới quốc gia, quốc tế;</w:t>
      </w:r>
    </w:p>
    <w:p w14:paraId="4049100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Sàn kết nối cung – cầu công nghệ: Là nơi các doanh nghiệp đặt hàng bài toán công nghệ, các startup và nhà nghiên cứu đề xuất giải pháp, thúc đẩy quá trình thương mại hóa kết quả nghiên cứu;</w:t>
      </w:r>
    </w:p>
    <w:p w14:paraId="4DF9C03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Hệ thống đo lường chỉ số hệ sinh thái (PII Dashboard): Giám sát thời gian thực các chỉ tiêu phát triển của hệ sinh thái, hỗ trợ ra quyết định dựa trên dữ liệu cho cơ quan quản lý;</w:t>
      </w:r>
    </w:p>
    <w:p w14:paraId="0150546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Cổng thông tin cộng đồng và truyền thông </w:t>
      </w:r>
      <w:r>
        <w:rPr>
          <w:color w:val="000000" w:themeColor="text1"/>
          <w:spacing w:val="-8"/>
          <w:sz w:val="26"/>
          <w:szCs w:val="26"/>
          <w:lang w:val="en-GB"/>
          <w14:textFill>
            <w14:solidFill>
              <w14:schemeClr w14:val="tx1"/>
            </w14:solidFill>
          </w14:textFill>
        </w:rPr>
        <w:t>ĐMST</w:t>
      </w:r>
      <w:r>
        <w:rPr>
          <w:color w:val="000000" w:themeColor="text1"/>
          <w:spacing w:val="-8"/>
          <w:sz w:val="26"/>
          <w:szCs w:val="26"/>
          <w:lang w:val="vi-VN"/>
          <w14:textFill>
            <w14:solidFill>
              <w14:schemeClr w14:val="tx1"/>
            </w14:solidFill>
          </w14:textFill>
        </w:rPr>
        <w:t xml:space="preserve"> : Đăng tải tin tức, sự kiện, cơ hội kết nối, câu chuyện thành công của các doanh nghiệp </w:t>
      </w:r>
      <w:r>
        <w:rPr>
          <w:color w:val="000000" w:themeColor="text1"/>
          <w:spacing w:val="-8"/>
          <w:sz w:val="26"/>
          <w:szCs w:val="26"/>
          <w:lang w:val="en-GB"/>
          <w14:textFill>
            <w14:solidFill>
              <w14:schemeClr w14:val="tx1"/>
            </w14:solidFill>
          </w14:textFill>
        </w:rPr>
        <w:t>ĐMST</w:t>
      </w:r>
      <w:r>
        <w:rPr>
          <w:color w:val="000000" w:themeColor="text1"/>
          <w:spacing w:val="-8"/>
          <w:sz w:val="26"/>
          <w:szCs w:val="26"/>
          <w:lang w:val="vi-VN"/>
          <w14:textFill>
            <w14:solidFill>
              <w14:schemeClr w14:val="tx1"/>
            </w14:solidFill>
          </w14:textFill>
        </w:rPr>
        <w:t xml:space="preserve"> Ninh Bình.</w:t>
      </w:r>
    </w:p>
    <w:p w14:paraId="01C3ADE5">
      <w:pPr>
        <w:pStyle w:val="5"/>
        <w:rPr>
          <w:color w:val="000000" w:themeColor="text1"/>
          <w14:textFill>
            <w14:solidFill>
              <w14:schemeClr w14:val="tx1"/>
            </w14:solidFill>
          </w14:textFill>
        </w:rPr>
      </w:pPr>
      <w:bookmarkStart w:id="67" w:name="_Toc233183656"/>
      <w:r>
        <w:rPr>
          <w:color w:val="000000" w:themeColor="text1"/>
          <w14:textFill>
            <w14:solidFill>
              <w14:schemeClr w14:val="tx1"/>
            </w14:solidFill>
          </w14:textFill>
        </w:rPr>
        <w:t>2.2.2. Hạ tầng kỹ thuật số nền tảng</w:t>
      </w:r>
      <w:bookmarkEnd w:id="67"/>
    </w:p>
    <w:p w14:paraId="4AF2EAE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Hệ sinh thái ĐMST được kết nối bằng hạ tầng viễn thông hiện đại, bao gồm mạng cáp quang tốc độ cao và phủ sóng 5G toàn diện tại khu vực Trung tâm hạt nhân và các điểm ĐMST chuyên ngành. Hệ thống điện toán đám mây và trung tâm dữ liệu được đầu tư đảm bảo khả năng lưu trữ, xử lý và bảo mật dữ liệu đáp ứng tiêu chuẩn quốc tế, phục vụ các ứng dụng AI, Big Data và IoT trong hệ sinh thái.</w:t>
      </w:r>
    </w:p>
    <w:p w14:paraId="642B8F66">
      <w:pPr>
        <w:pStyle w:val="5"/>
        <w:rPr>
          <w:color w:val="000000" w:themeColor="text1"/>
          <w14:textFill>
            <w14:solidFill>
              <w14:schemeClr w14:val="tx1"/>
            </w14:solidFill>
          </w14:textFill>
        </w:rPr>
      </w:pPr>
      <w:bookmarkStart w:id="68" w:name="_Toc233183657"/>
      <w:r>
        <w:rPr>
          <w:color w:val="000000" w:themeColor="text1"/>
          <w14:textFill>
            <w14:solidFill>
              <w14:schemeClr w14:val="tx1"/>
            </w14:solidFill>
          </w14:textFill>
        </w:rPr>
        <w:t>2.2.3. Chương trình nội dung hệ thống</w:t>
      </w:r>
      <w:bookmarkEnd w:id="68"/>
    </w:p>
    <w:p w14:paraId="762932F7">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Bên cạnh hạ tầng kỹ thuật, Ninh Bình cần triển khai hệ thống chương trình nội dung thường x</w:t>
      </w:r>
      <w:bookmarkStart w:id="153" w:name="_GoBack"/>
      <w:bookmarkEnd w:id="153"/>
      <w:r>
        <w:rPr>
          <w:color w:val="000000" w:themeColor="text1"/>
          <w:sz w:val="26"/>
          <w:szCs w:val="26"/>
          <w:lang w:val="vi-VN"/>
          <w14:textFill>
            <w14:solidFill>
              <w14:schemeClr w14:val="tx1"/>
            </w14:solidFill>
          </w14:textFill>
        </w:rPr>
        <w:t>uyên, được thiết kế có chủ đích cho từng đối tượng thụ hưởng:</w:t>
      </w:r>
    </w:p>
    <w:p w14:paraId="259511B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ươm tạo (Incubation Program): Hỗ trợ toàn diện cho các startup giai đoạn đầu từ 3–6 tháng, bao gồm đào tạo kỹ năng, tư vấn mô hình kinh doanh, kết nối mentor và hỗ trợ không gian làm việc;</w:t>
      </w:r>
    </w:p>
    <w:p w14:paraId="62D44C4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tăng tốc (Acceleration Program): Dành cho các startup đã có sản phẩm thị trường, hỗ trợ nâng quy mô, kết nối nhà đầu tư và mở rộng ra thị trường quốc tế;</w:t>
      </w:r>
    </w:p>
    <w:p w14:paraId="057E1FC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kết nối đổi mới sáng tạo doanh nghiệp (Corporate Innovation Program): Hỗ trợ kết nối các doanh nghiệp FDI, doanh nghiệp lớn và doanh nghiệp địa phương với startup, cơ sở nghiên cứu và các nhóm ĐMST; thúc đẩy hoạt động đặt hàng công nghệ, phát triển nhà cung ứng địa phương, chuyển giao công nghệ và hình thành các dự án hợp tác ĐMST. Chương trình ưu tiên kết nối với các doanh nghiệp trong các lĩnh vực điện tử, cơ khí chế tạo, công nghệ số, dược phẩm và du lịch nhằm khai thác hiệu quả các lợi thế hiện có của tỉnh. </w:t>
      </w:r>
    </w:p>
    <w:p w14:paraId="5294BCD3">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đặt hàng ĐMST công: Cơ quan Nhà nước và doanh nghiệp lớn đặt hàng bài toán thực tiễn, mở cuộc thi tìm kiếm giải pháp từ cộng đồng startup;</w:t>
      </w:r>
    </w:p>
    <w:p w14:paraId="2F1CCDB5">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Chuỗi sự kiện kết nối định kỳ: Techfest Ninh Bình, cuộc thi khởi nghiệp sáng tạo theo ngành, lĩnh vực, được tổ chức hàng quý và hàng năm;</w:t>
      </w:r>
    </w:p>
    <w:p w14:paraId="7F0C778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đào tạo nhận thức và nâng cao năng lực ĐMST : Dành cho cán bộ quản lý, giáo viên, sinh viên và cộng đồng doanh nghiệp, được thiết kế theo mô-đun linh hoạt, kết hợp trực tiếp và trực tuyến.</w:t>
      </w:r>
    </w:p>
    <w:p w14:paraId="1C52BA5C">
      <w:pPr>
        <w:pStyle w:val="4"/>
        <w:rPr>
          <w:color w:val="000000" w:themeColor="text1"/>
          <w14:textFill>
            <w14:solidFill>
              <w14:schemeClr w14:val="tx1"/>
            </w14:solidFill>
          </w14:textFill>
        </w:rPr>
      </w:pPr>
      <w:bookmarkStart w:id="69" w:name="_Toc233183658"/>
      <w:r>
        <w:rPr>
          <w:color w:val="000000" w:themeColor="text1"/>
          <w14:textFill>
            <w14:solidFill>
              <w14:schemeClr w14:val="tx1"/>
            </w14:solidFill>
          </w14:textFill>
        </w:rPr>
        <w:t>2.3. Nhân lực</w:t>
      </w:r>
      <w:bookmarkEnd w:id="69"/>
    </w:p>
    <w:p w14:paraId="2CC40B01">
      <w:pPr>
        <w:spacing w:before="120" w:line="312" w:lineRule="auto"/>
        <w:ind w:firstLine="567"/>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Nhân lực chất lượng cao là yếu tố quyết định sự thành công và bền vững của hệ sinh thái ĐMST. Hệ sinh thái ĐMST Ninh Bình xây dựng chiến lược nhân lực trên ba trụ cột: Đội ngũ vận hành hệ sinh thái, mạng lưới chuyên gia hỗ trợ và cộng đồng nhân tài sáng tạo.</w:t>
      </w:r>
    </w:p>
    <w:p w14:paraId="77E6E5F3">
      <w:pPr>
        <w:pStyle w:val="5"/>
        <w:rPr>
          <w:color w:val="000000" w:themeColor="text1"/>
          <w14:textFill>
            <w14:solidFill>
              <w14:schemeClr w14:val="tx1"/>
            </w14:solidFill>
          </w14:textFill>
        </w:rPr>
      </w:pPr>
      <w:bookmarkStart w:id="70" w:name="_Toc233183659"/>
      <w:r>
        <w:rPr>
          <w:color w:val="000000" w:themeColor="text1"/>
          <w14:textFill>
            <w14:solidFill>
              <w14:schemeClr w14:val="tx1"/>
            </w14:solidFill>
          </w14:textFill>
        </w:rPr>
        <w:t>2.3.1. Đội ngũ vận hành chuyên nghiệp</w:t>
      </w:r>
      <w:bookmarkEnd w:id="70"/>
    </w:p>
    <w:p w14:paraId="70108B25">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hạt nhân được điều hành bởi đội ngũ cán bộ chuyên trách có chuyên môn sâu về ĐMST, khởi nghiệp và quản trị hệ sinh thái. Đội ngũ này bao gồm các chuyên gia quản lý chương trình ươm tạo, chuyên gia kết nối đầu tư, chuyên gia truyền thông và chuyên gia hạ tầng kỹ thuật số. Ưu tiên tuyển dụng các cá nhân có kinh nghiệm thực tiễn trong hệ sinh thái khởi nghiệp quốc gia và quốc tế, đồng thời có am hiểu sâu sắc về đặc thù và lợi thế của Ninh Bình.</w:t>
      </w:r>
    </w:p>
    <w:p w14:paraId="45B6EBA0">
      <w:pPr>
        <w:pStyle w:val="5"/>
        <w:rPr>
          <w:color w:val="000000" w:themeColor="text1"/>
          <w14:textFill>
            <w14:solidFill>
              <w14:schemeClr w14:val="tx1"/>
            </w14:solidFill>
          </w14:textFill>
        </w:rPr>
      </w:pPr>
      <w:bookmarkStart w:id="71" w:name="_Toc233183660"/>
      <w:r>
        <w:rPr>
          <w:color w:val="000000" w:themeColor="text1"/>
          <w14:textFill>
            <w14:solidFill>
              <w14:schemeClr w14:val="tx1"/>
            </w14:solidFill>
          </w14:textFill>
        </w:rPr>
        <w:t>2.3.2. Mạng lưới chuyên gia, cố vấn và chuyên gia công nghệ</w:t>
      </w:r>
      <w:bookmarkEnd w:id="71"/>
    </w:p>
    <w:p w14:paraId="157A233B">
      <w:pPr>
        <w:spacing w:before="120" w:line="312" w:lineRule="auto"/>
        <w:ind w:firstLine="567"/>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Hệ sinh thái ĐMST của tỉnh hình thành mạng lưới chuyên gia, cố vấn và chuyên gia công nghệ với sự tham gia của các nhà khoa học, doanh nhân, chuyên gia quản trị, chuyên gia đầu tư và các nhà sáng lập doanh nghiệp đổi mới sáng tạo trong nước và quốc tế. Mạng lưới này có vai trò hỗ trợ tư vấn chiến lược, hoàn thiện mô hình kinh doanh, phát triển công nghệ, kết nối thị trường và huy động nguồn lực cho các doanh nghiệp và dự án ĐMST.</w:t>
      </w:r>
    </w:p>
    <w:p w14:paraId="09A65A90">
      <w:pPr>
        <w:spacing w:before="120" w:line="312" w:lineRule="auto"/>
        <w:ind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Tỉnh ưu tiên xây dựng cơ chế thu hút sự tham gia của các chuyên gia người Ninh Bình đang công tác tại các trung tâm khoa học, công nghệ và đổi mới sáng tạo lớn trong nước và quốc tế; đồng thời khuyến khích các chuyên gia, kỹ sư và nhà quản lý từ các doanh nghiệp FDI, doanh nghiệp công nghệ cao trên địa bàn tham gia các hoạt động cố vấn, đào tạo và hỗ trợ phát triển hệ sinh thái.</w:t>
      </w:r>
    </w:p>
    <w:p w14:paraId="4DED0EC5">
      <w:pPr>
        <w:pStyle w:val="5"/>
        <w:rPr>
          <w:color w:val="000000" w:themeColor="text1"/>
          <w14:textFill>
            <w14:solidFill>
              <w14:schemeClr w14:val="tx1"/>
            </w14:solidFill>
          </w14:textFill>
        </w:rPr>
      </w:pPr>
      <w:bookmarkStart w:id="72" w:name="_Toc233183661"/>
      <w:r>
        <w:rPr>
          <w:color w:val="000000" w:themeColor="text1"/>
          <w14:textFill>
            <w14:solidFill>
              <w14:schemeClr w14:val="tx1"/>
            </w14:solidFill>
          </w14:textFill>
        </w:rPr>
        <w:t>2.3.3. Cộng đồng nhân lực và tài năng ĐMST</w:t>
      </w:r>
      <w:bookmarkEnd w:id="72"/>
    </w:p>
    <w:p w14:paraId="1A5C67D9">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Hệ sinh thái ĐMST của tỉnh được phát triển trên nền tảng cộng đồng nhân lực đa dạng, bao gồm sinh viên, giảng viên, nhà nghiên cứu, kỹ sư, chuyên gia công nghệ, doanh nhân và các nhóm khởi nghiệp sáng tạo. Khu Đại học Nam Cao giữ vai trò là trung tâm cung cấp nguồn nhân lực chất lượng cao, đồng thời là nơi hình thành các hoạt động nghiên cứu ứng dụng, chuyển giao công nghệ và khởi nghiệp đổi mới sáng tạo.</w:t>
      </w:r>
    </w:p>
    <w:p w14:paraId="66089FDC">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Các trường đại học, cao đẳng và cơ sở giáo dục nghề nghiệp trên địa bàn tỉnh là lực lượng nòng cốt triển khai các hoạt động đào tạo nguồn nhân lực, nghiên cứu ứng dụng, chuyển giao công nghệ và phát triển các nhóm nghiên cứu phục vụ giải quyết các bài toán phát triển kinh tế - xã hội của địa phương và doanh nghiệp. Trung tâm ĐMST tỉnh giữ vai trò điều phối, kết nối và huy động nguồn lực; các cơ sở đào tạo và nghiên cứu là lực lượng triển khai chuyên môn trong các lĩnh vực ưu tiên của tỉnh.</w:t>
      </w:r>
    </w:p>
    <w:p w14:paraId="73E9A551">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Bên cạnh đó, lực lượng kỹ sư, chuyên gia và cán bộ kỹ thuật đang làm việc tại các doanh nghiệp công nghệ cao, doanh nghiệp FDI và doanh nghiệp sản xuất trên địa bàn tỉnh được xem là nguồn lực quan trọng để thúc đẩy đổi mới sáng tạo trong doanh nghiệp và hình thành các dự án khởi nghiệp công nghệ. Tỉnh từng bước xây dựng các chính sách thu hút, phát hiện và phát triển nhân tài, tạo điều kiện thuận lợi về môi trường làm việc, cơ hội nghiên cứu, khởi nghiệp và phát triển nghề nghiệp nhằm thu hút nguồn nhân lực chất lượng cao đến làm việc và gắn bó lâu dài với địa phương.</w:t>
      </w:r>
    </w:p>
    <w:p w14:paraId="657811EE">
      <w:pPr>
        <w:pStyle w:val="3"/>
        <w:rPr>
          <w:color w:val="000000" w:themeColor="text1"/>
          <w14:textFill>
            <w14:solidFill>
              <w14:schemeClr w14:val="tx1"/>
            </w14:solidFill>
          </w14:textFill>
        </w:rPr>
      </w:pPr>
      <w:bookmarkStart w:id="73" w:name="_Toc233183662"/>
      <w:r>
        <w:rPr>
          <w:color w:val="000000" w:themeColor="text1"/>
          <w14:textFill>
            <w14:solidFill>
              <w14:schemeClr w14:val="tx1"/>
            </w14:solidFill>
          </w14:textFill>
        </w:rPr>
        <w:t>III. CÁC NHÓM GIẢI PHÁP</w:t>
      </w:r>
      <w:bookmarkEnd w:id="73"/>
    </w:p>
    <w:p w14:paraId="4A54BAE4">
      <w:pPr>
        <w:spacing w:before="120" w:line="312" w:lineRule="auto"/>
        <w:ind w:firstLine="720"/>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Phát triển hệ sinh thái ĐMST tỉnh Ninh Bình là một công cuộc mang tính hệ thống, đòi hỏi sự phối hợp đồng bộ giữa nhiều nhóm cấu phần với các chủ thể khác nhau. Dưới đây là phân tích các nhóm cấu phần trọng yếu, nhận diện vấn đề cốt lõi và đề xuất giải pháp đột phá, theo nguyên tắc lấy doanh nghiệp khởi nghiệp và doanh nghiệp ĐMST  làm trung tâm.</w:t>
      </w:r>
    </w:p>
    <w:p w14:paraId="2F929818">
      <w:pPr>
        <w:pStyle w:val="4"/>
        <w:rPr>
          <w:color w:val="000000" w:themeColor="text1"/>
          <w14:textFill>
            <w14:solidFill>
              <w14:schemeClr w14:val="tx1"/>
            </w14:solidFill>
          </w14:textFill>
        </w:rPr>
      </w:pPr>
      <w:bookmarkStart w:id="74" w:name="_Toc233183663"/>
      <w:r>
        <w:rPr>
          <w:color w:val="000000" w:themeColor="text1"/>
          <w14:textFill>
            <w14:solidFill>
              <w14:schemeClr w14:val="tx1"/>
            </w14:solidFill>
          </w14:textFill>
        </w:rPr>
        <w:t>3.1. Nhóm giải pháp phát triển hệ sinh thái ĐMST</w:t>
      </w:r>
      <w:bookmarkEnd w:id="74"/>
    </w:p>
    <w:p w14:paraId="25E18D56">
      <w:pPr>
        <w:pStyle w:val="5"/>
        <w:rPr>
          <w:color w:val="000000" w:themeColor="text1"/>
          <w14:textFill>
            <w14:solidFill>
              <w14:schemeClr w14:val="tx1"/>
            </w14:solidFill>
          </w14:textFill>
        </w:rPr>
      </w:pPr>
      <w:bookmarkStart w:id="75" w:name="_Toc233183664"/>
      <w:r>
        <w:rPr>
          <w:color w:val="000000" w:themeColor="text1"/>
          <w14:textFill>
            <w14:solidFill>
              <w14:schemeClr w14:val="tx1"/>
            </w14:solidFill>
          </w14:textFill>
        </w:rPr>
        <w:t>3.1.1. Giải pháp 1. Xây dựng và vận hành Trung tâm ĐMST tỉnh Ninh Bình theo mô hình điều phối hệ sinh thái</w:t>
      </w:r>
      <w:bookmarkEnd w:id="75"/>
    </w:p>
    <w:p w14:paraId="58F7F40F">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Nghiên cứu, xây dựng và ban hành Đề án thành lập Trung tâm ĐMST tỉnh Ninh Bình theo mô hình tổ chức mở, hoạt động như một thiết chế điều phối hệ sinh thái ĐMST thay vì đơn thuần là một đơn vị sự nghiệp. Kết quả cần đạt</w:t>
      </w:r>
      <w:r>
        <w:rPr>
          <w:color w:val="000000" w:themeColor="text1"/>
          <w:spacing w:val="-8"/>
          <w:sz w:val="26"/>
          <w:szCs w:val="26"/>
          <w:lang w:val="en-GB"/>
          <w14:textFill>
            <w14:solidFill>
              <w14:schemeClr w14:val="tx1"/>
            </w14:solidFill>
          </w14:textFill>
        </w:rPr>
        <w:t>:</w:t>
      </w:r>
    </w:p>
    <w:p w14:paraId="3B5AB8C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Trung tâm ĐMST tỉnh Ninh Bình được thành lập và vận hành ổn định. </w:t>
      </w:r>
    </w:p>
    <w:p w14:paraId="2270195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cơ chế điều phối thống nhất cho toàn bộ hệ sinh thái ĐMST của tỉnh. </w:t>
      </w:r>
    </w:p>
    <w:p w14:paraId="4187FC8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Trở thành đầu mối kết nối các nguồn lực ĐMST trong nước và quốc tế. </w:t>
      </w:r>
    </w:p>
    <w:p w14:paraId="18EFF1E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Từng bước nâng cao vai trò liên kết vùng của Ninh Bình trong hệ sinh thái ĐMST khu vực Đồng bằng sông Hồng. </w:t>
      </w:r>
    </w:p>
    <w:p w14:paraId="481F23F9">
      <w:pPr>
        <w:pStyle w:val="5"/>
        <w:rPr>
          <w:color w:val="000000" w:themeColor="text1"/>
          <w14:textFill>
            <w14:solidFill>
              <w14:schemeClr w14:val="tx1"/>
            </w14:solidFill>
          </w14:textFill>
        </w:rPr>
      </w:pPr>
      <w:bookmarkStart w:id="76" w:name="_Toc233183665"/>
      <w:r>
        <w:rPr>
          <w:color w:val="000000" w:themeColor="text1"/>
          <w14:textFill>
            <w14:solidFill>
              <w14:schemeClr w14:val="tx1"/>
            </w14:solidFill>
          </w14:textFill>
        </w:rPr>
        <w:t>3.1.2. Giải pháp 2. Triển khai Chương trình phát triển các trung tâm ĐMST chuyên ngành gắn với các lĩnh vực ưu tiên của tỉnh</w:t>
      </w:r>
      <w:bookmarkEnd w:id="76"/>
    </w:p>
    <w:p w14:paraId="6DB3DC20">
      <w:pPr>
        <w:pStyle w:val="55"/>
        <w:tabs>
          <w:tab w:val="left" w:pos="720"/>
          <w:tab w:val="left" w:pos="990"/>
        </w:tabs>
        <w:spacing w:before="120" w:line="312" w:lineRule="auto"/>
        <w:ind w:left="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ab/>
      </w:r>
      <w:r>
        <w:rPr>
          <w:color w:val="000000" w:themeColor="text1"/>
          <w:spacing w:val="-4"/>
          <w:sz w:val="26"/>
          <w:szCs w:val="26"/>
          <w:lang w:val="vi-VN"/>
          <w14:textFill>
            <w14:solidFill>
              <w14:schemeClr w14:val="tx1"/>
            </w14:solidFill>
          </w14:textFill>
        </w:rPr>
        <w:t>Nghiên cứu, xây dựng và triển khai các mô hình trung tâm ĐMST chuyên ngành trên cơ sở lợi thế phát triển của tỉnh, nhu cầu doanh nghiệp và xu hướng công nghệ mới. Ưu tiên phát triển:</w:t>
      </w:r>
    </w:p>
    <w:p w14:paraId="28109B35">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Trung tâm ĐMST AI, Điện tử - Bán dẫn, Robot và Công nghệ cao; </w:t>
      </w:r>
    </w:p>
    <w:p w14:paraId="201F032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Trung tâm ĐMST Du lịch - công nghiệp văn hóa; </w:t>
      </w:r>
    </w:p>
    <w:p w14:paraId="60C943F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Trung tâm ĐMST Khoa học sự sống, Công nghệ sinh học và Dược phẩm - Dược liệu</w:t>
      </w:r>
    </w:p>
    <w:p w14:paraId="73BBA005">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Khuyến khích doanh nghiệp, trường đại học, viện nghiên cứu và các tổ chức quốc tế tham gia đồng đầu tư, đồng vận hành theo mô hình hợp tác công tư. Kết quả cần đạt</w:t>
      </w:r>
      <w:r>
        <w:rPr>
          <w:color w:val="000000" w:themeColor="text1"/>
          <w:spacing w:val="-8"/>
          <w:sz w:val="26"/>
          <w:szCs w:val="26"/>
          <w:lang w:val="en-GB"/>
          <w14:textFill>
            <w14:solidFill>
              <w14:schemeClr w14:val="tx1"/>
            </w14:solidFill>
          </w14:textFill>
        </w:rPr>
        <w:t>:</w:t>
      </w:r>
    </w:p>
    <w:p w14:paraId="7FF6D56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Hình thành tối thiểu 0</w:t>
      </w:r>
      <w:r>
        <w:rPr>
          <w:rFonts w:hint="default"/>
          <w:color w:val="000000" w:themeColor="text1"/>
          <w:spacing w:val="-8"/>
          <w:sz w:val="26"/>
          <w:szCs w:val="26"/>
          <w:lang w:val="en-GB"/>
          <w14:textFill>
            <w14:solidFill>
              <w14:schemeClr w14:val="tx1"/>
            </w14:solidFill>
          </w14:textFill>
        </w:rPr>
        <w:t>3</w:t>
      </w:r>
      <w:r>
        <w:rPr>
          <w:color w:val="000000" w:themeColor="text1"/>
          <w:spacing w:val="-8"/>
          <w:sz w:val="26"/>
          <w:szCs w:val="26"/>
          <w:lang w:val="vi-VN"/>
          <w14:textFill>
            <w14:solidFill>
              <w14:schemeClr w14:val="tx1"/>
            </w14:solidFill>
          </w14:textFill>
        </w:rPr>
        <w:t xml:space="preserve"> trung tâm ĐMST chuyên ngành. </w:t>
      </w:r>
    </w:p>
    <w:p w14:paraId="3B64C3E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Xây dựng được các mạng lưới chuyên gia, doanh nghiệp và đối tác chiến lược cho từng lĩnh vực. </w:t>
      </w:r>
    </w:p>
    <w:p w14:paraId="23BD454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các chương trình nghiên cứu ứng dụng, chuyển giao công nghệ và phát triển doanh nghiệp theo từng cụm ngành ưu tiên. </w:t>
      </w:r>
    </w:p>
    <w:p w14:paraId="2F1750AB">
      <w:pPr>
        <w:pStyle w:val="5"/>
        <w:rPr>
          <w:color w:val="000000" w:themeColor="text1"/>
          <w14:textFill>
            <w14:solidFill>
              <w14:schemeClr w14:val="tx1"/>
            </w14:solidFill>
          </w14:textFill>
        </w:rPr>
      </w:pPr>
      <w:bookmarkStart w:id="77" w:name="_Toc233183666"/>
      <w:r>
        <w:rPr>
          <w:color w:val="000000" w:themeColor="text1"/>
          <w14:textFill>
            <w14:solidFill>
              <w14:schemeClr w14:val="tx1"/>
            </w14:solidFill>
          </w14:textFill>
        </w:rPr>
        <w:t xml:space="preserve">3.1.3. Giải pháp 3. Triển khai Chương trình phát triển mạng lưới </w:t>
      </w:r>
      <w:r>
        <w:rPr>
          <w:color w:val="000000" w:themeColor="text1"/>
          <w:lang w:val="en-GB"/>
          <w14:textFill>
            <w14:solidFill>
              <w14:schemeClr w14:val="tx1"/>
            </w14:solidFill>
          </w14:textFill>
        </w:rPr>
        <w:t>Không gian khởi nghiệp sáng tạo cộng đồng</w:t>
      </w:r>
      <w:r>
        <w:rPr>
          <w:color w:val="000000" w:themeColor="text1"/>
          <w14:textFill>
            <w14:solidFill>
              <w14:schemeClr w14:val="tx1"/>
            </w14:solidFill>
          </w14:textFill>
        </w:rPr>
        <w:t xml:space="preserve"> </w:t>
      </w:r>
      <w:bookmarkEnd w:id="77"/>
    </w:p>
    <w:p w14:paraId="2C7E797A">
      <w:pPr>
        <w:pStyle w:val="55"/>
        <w:tabs>
          <w:tab w:val="left" w:pos="720"/>
          <w:tab w:val="left" w:pos="990"/>
        </w:tabs>
        <w:spacing w:before="120" w:line="312" w:lineRule="auto"/>
        <w:ind w:left="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 xml:space="preserve">Sở KH&amp;CN chủ trì tham mưu UBND tỉnh hoặc HĐND tỉnh ban hành theo thẩm quyền cơ chế đánh giá, công nhận và hỗ trợ các </w:t>
      </w:r>
      <w:r>
        <w:rPr>
          <w:color w:val="000000" w:themeColor="text1"/>
          <w:spacing w:val="-8"/>
          <w:sz w:val="26"/>
          <w:szCs w:val="26"/>
          <w:lang w:val="en-GB"/>
          <w14:textFill>
            <w14:solidFill>
              <w14:schemeClr w14:val="tx1"/>
            </w14:solidFill>
          </w14:textFill>
        </w:rPr>
        <w:t>Không gian khởi nghiệp sáng tạo cộng đồng</w:t>
      </w:r>
      <w:r>
        <w:rPr>
          <w:color w:val="000000" w:themeColor="text1"/>
          <w:spacing w:val="-8"/>
          <w:sz w:val="26"/>
          <w:szCs w:val="26"/>
          <w:lang w:val="vi-VN"/>
          <w14:textFill>
            <w14:solidFill>
              <w14:schemeClr w14:val="tx1"/>
            </w14:solidFill>
          </w14:textFill>
        </w:rPr>
        <w:t xml:space="preserve"> tại:</w:t>
      </w:r>
    </w:p>
    <w:p w14:paraId="0B07107F">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Khu công nghiệp; </w:t>
      </w:r>
    </w:p>
    <w:p w14:paraId="29107D14">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Trường đại học, cao đẳng; </w:t>
      </w:r>
    </w:p>
    <w:p w14:paraId="789B30C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Hiệp hội doanh nghiệp và các doanh nghiệp;</w:t>
      </w:r>
    </w:p>
    <w:p w14:paraId="74ABD55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Không gian cộng đồng như nhà văn hóa, không gian học tập cộng đồng.</w:t>
      </w:r>
    </w:p>
    <w:p w14:paraId="7F24D667">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Kết quả cần đạt</w:t>
      </w:r>
      <w:r>
        <w:rPr>
          <w:color w:val="000000" w:themeColor="text1"/>
          <w:spacing w:val="-8"/>
          <w:sz w:val="26"/>
          <w:szCs w:val="26"/>
          <w:lang w:val="en-GB"/>
          <w14:textFill>
            <w14:solidFill>
              <w14:schemeClr w14:val="tx1"/>
            </w14:solidFill>
          </w14:textFill>
        </w:rPr>
        <w:t>:</w:t>
      </w:r>
    </w:p>
    <w:p w14:paraId="43421F3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từ 20–30 </w:t>
      </w:r>
      <w:r>
        <w:rPr>
          <w:color w:val="000000" w:themeColor="text1"/>
          <w:spacing w:val="-8"/>
          <w:sz w:val="26"/>
          <w:szCs w:val="26"/>
          <w:lang w:val="en-GB"/>
          <w14:textFill>
            <w14:solidFill>
              <w14:schemeClr w14:val="tx1"/>
            </w14:solidFill>
          </w14:textFill>
        </w:rPr>
        <w:t xml:space="preserve">Không gian khởi nghiệp sáng tạo cộng đồng </w:t>
      </w:r>
      <w:r>
        <w:rPr>
          <w:color w:val="000000" w:themeColor="text1"/>
          <w:spacing w:val="-8"/>
          <w:sz w:val="26"/>
          <w:szCs w:val="26"/>
          <w:lang w:val="vi-VN"/>
          <w14:textFill>
            <w14:solidFill>
              <w14:schemeClr w14:val="tx1"/>
            </w14:solidFill>
          </w14:textFill>
        </w:rPr>
        <w:t xml:space="preserve">trên toàn tỉnh. </w:t>
      </w:r>
    </w:p>
    <w:p w14:paraId="5AB5175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Tạo mạng lưới hỗ trợ ĐMST từ cấp tỉnh đến cơ sở. </w:t>
      </w:r>
    </w:p>
    <w:p w14:paraId="704D3693">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Gia tăng khả năng tiếp cận các dịch vụ ĐMST của doanh nghiệp, hợp tác xã, thanh niên và người dân. </w:t>
      </w:r>
    </w:p>
    <w:p w14:paraId="5D339AAA">
      <w:pPr>
        <w:pStyle w:val="5"/>
        <w:rPr>
          <w:color w:val="000000" w:themeColor="text1"/>
          <w14:textFill>
            <w14:solidFill>
              <w14:schemeClr w14:val="tx1"/>
            </w14:solidFill>
          </w14:textFill>
        </w:rPr>
      </w:pPr>
      <w:bookmarkStart w:id="78" w:name="_Toc233183667"/>
      <w:r>
        <w:rPr>
          <w:color w:val="000000" w:themeColor="text1"/>
          <w14:textFill>
            <w14:solidFill>
              <w14:schemeClr w14:val="tx1"/>
            </w14:solidFill>
          </w14:textFill>
        </w:rPr>
        <w:t>3.1.4. Giải pháp 4. Xây dựng cơ chế hỗ trợ đầu tư và huy động nguồn lực cho ĐMST và khởi nghiệp sáng tạo</w:t>
      </w:r>
      <w:bookmarkEnd w:id="78"/>
    </w:p>
    <w:p w14:paraId="1FC14FF0">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Nghiên cứu và triển khai cơ chế hỗ trợ đầu tư cho ĐMST theo hướng huy động nguồn lực xã hội thay vì phụ thuộc hoàn toàn vào ngân sách nhà nước. Kết quả cần đạt</w:t>
      </w:r>
      <w:r>
        <w:rPr>
          <w:color w:val="000000" w:themeColor="text1"/>
          <w:spacing w:val="-8"/>
          <w:sz w:val="26"/>
          <w:szCs w:val="26"/>
          <w:lang w:val="en-GB"/>
          <w14:textFill>
            <w14:solidFill>
              <w14:schemeClr w14:val="tx1"/>
            </w14:solidFill>
          </w14:textFill>
        </w:rPr>
        <w:t>:</w:t>
      </w:r>
    </w:p>
    <w:p w14:paraId="56247E6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Hình thành tối thiểu 01 cơ chế hỗ trợ đầu tư hoặc mô hình đồng đầu tư cho ĐMST</w:t>
      </w:r>
      <w:r>
        <w:rPr>
          <w:rFonts w:hint="default"/>
          <w:color w:val="000000" w:themeColor="text1"/>
          <w:spacing w:val="-8"/>
          <w:sz w:val="26"/>
          <w:szCs w:val="26"/>
          <w:lang w:val="en-GB"/>
          <w14:textFill>
            <w14:solidFill>
              <w14:schemeClr w14:val="tx1"/>
            </w14:solidFill>
          </w14:textFill>
        </w:rPr>
        <w:t>.</w:t>
      </w:r>
      <w:r>
        <w:rPr>
          <w:color w:val="000000" w:themeColor="text1"/>
          <w:spacing w:val="-8"/>
          <w:sz w:val="26"/>
          <w:szCs w:val="26"/>
          <w:lang w:val="vi-VN"/>
          <w14:textFill>
            <w14:solidFill>
              <w14:schemeClr w14:val="tx1"/>
            </w14:solidFill>
          </w14:textFill>
        </w:rPr>
        <w:t xml:space="preserve"> </w:t>
      </w:r>
    </w:p>
    <w:p w14:paraId="51123BE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mạng lưới nhà đầu tư, chuyên gia tài chính và tổ chức hỗ trợ đầu tư. </w:t>
      </w:r>
    </w:p>
    <w:p w14:paraId="43915B9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Tăng khả năng tiếp cận nguồn vốn cho doanh nghiệp KNST và doanh nghiệp ĐMST. </w:t>
      </w:r>
    </w:p>
    <w:p w14:paraId="3A72C888">
      <w:pPr>
        <w:pStyle w:val="5"/>
        <w:rPr>
          <w:color w:val="000000" w:themeColor="text1"/>
          <w14:textFill>
            <w14:solidFill>
              <w14:schemeClr w14:val="tx1"/>
            </w14:solidFill>
          </w14:textFill>
        </w:rPr>
      </w:pPr>
      <w:bookmarkStart w:id="79" w:name="_Toc233183668"/>
      <w:r>
        <w:rPr>
          <w:color w:val="000000" w:themeColor="text1"/>
          <w14:textFill>
            <w14:solidFill>
              <w14:schemeClr w14:val="tx1"/>
            </w14:solidFill>
          </w14:textFill>
        </w:rPr>
        <w:t>3.1.5. Giải pháp 5. Triển khai Chương trình phát triển các tổ chức trung gian hỗ trợ hệ sinh thái ĐMST</w:t>
      </w:r>
      <w:bookmarkEnd w:id="79"/>
    </w:p>
    <w:p w14:paraId="6083D0BC">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Sở KH&amp;CN chủ trì tham mưu UBND tỉnh hoặc HĐND tỉnh ban hành theo thẩm quyền Chương trình phát triển tổ chức trung gian hỗ trợ ĐMST giai đoạn 2026–2030 nhằm thu hút các tổ chức trong và ngoài tỉnh tham gia cung cấp dịch vụ hỗ trợ ĐMST.  Kết quả cần đạt</w:t>
      </w:r>
      <w:r>
        <w:rPr>
          <w:color w:val="000000" w:themeColor="text1"/>
          <w:spacing w:val="-8"/>
          <w:sz w:val="26"/>
          <w:szCs w:val="26"/>
          <w:lang w:val="en-GB"/>
          <w14:textFill>
            <w14:solidFill>
              <w14:schemeClr w14:val="tx1"/>
            </w14:solidFill>
          </w14:textFill>
        </w:rPr>
        <w:t>:</w:t>
      </w:r>
    </w:p>
    <w:p w14:paraId="3BEBB98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từ 05–07 tổ chức trung gian hoạt động thường xuyên và hiệu quả. </w:t>
      </w:r>
    </w:p>
    <w:p w14:paraId="5D38515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Thu hút tối thiểu 01–02 tổ chức thúc đẩy kinh doanh có uy tín triển khai chương trình tại Ninh Bình. </w:t>
      </w:r>
    </w:p>
    <w:p w14:paraId="549581BF">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hệ sinh thái dịch vụ hỗ trợ doanh nghiệp ĐMST tương đối đầy đủ. </w:t>
      </w:r>
    </w:p>
    <w:p w14:paraId="069F61FE">
      <w:pPr>
        <w:pStyle w:val="5"/>
        <w:rPr>
          <w:color w:val="000000" w:themeColor="text1"/>
          <w14:textFill>
            <w14:solidFill>
              <w14:schemeClr w14:val="tx1"/>
            </w14:solidFill>
          </w14:textFill>
        </w:rPr>
      </w:pPr>
      <w:bookmarkStart w:id="80" w:name="_Toc233183669"/>
      <w:r>
        <w:rPr>
          <w:color w:val="000000" w:themeColor="text1"/>
          <w14:textFill>
            <w14:solidFill>
              <w14:schemeClr w14:val="tx1"/>
            </w14:solidFill>
          </w14:textFill>
        </w:rPr>
        <w:t>3.1.6. Giải pháp 6. Xây dựng hạ tầng số và cơ sở dữ liệu dùng chung phục vụ quản trị hệ sinh thái ĐMST</w:t>
      </w:r>
      <w:bookmarkEnd w:id="80"/>
    </w:p>
    <w:p w14:paraId="2B7F0C71">
      <w:pPr>
        <w:pStyle w:val="55"/>
        <w:tabs>
          <w:tab w:val="left" w:pos="720"/>
          <w:tab w:val="left" w:pos="990"/>
        </w:tabs>
        <w:spacing w:before="120" w:line="312" w:lineRule="auto"/>
        <w:ind w:left="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Xây dựng và vận hành nền tảng số hệ sinh thái ĐMST tỉnh Ninh Bình (Ninh Binh Innovation Port) nhằm kết nối và quản trị các nguồn lực ĐMST. Phát triển các cơ sở dữ liệu dùng chung về:</w:t>
      </w:r>
    </w:p>
    <w:p w14:paraId="440D033F">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Doanh nghiệp ĐMST; </w:t>
      </w:r>
    </w:p>
    <w:p w14:paraId="42426A9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Doanh nghiệp KH&amp;CN; </w:t>
      </w:r>
    </w:p>
    <w:p w14:paraId="08FF1EF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Startup; </w:t>
      </w:r>
    </w:p>
    <w:p w14:paraId="3E546903">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Chuyên gia và mentor; </w:t>
      </w:r>
    </w:p>
    <w:p w14:paraId="474D6C2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Nhà đầu tư; </w:t>
      </w:r>
    </w:p>
    <w:p w14:paraId="003B331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Công nghệ và tài sản trí tuệ; </w:t>
      </w:r>
    </w:p>
    <w:p w14:paraId="7A23DD2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Các chương trình hỗ trợ ĐMST. </w:t>
      </w:r>
    </w:p>
    <w:p w14:paraId="4CE845A3">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Đồng thời tích hợp các công cụ quản trị, theo dõi và đánh giá hiệu quả phát triển hệ sinh thái. Kết quả cần đạt</w:t>
      </w:r>
      <w:r>
        <w:rPr>
          <w:color w:val="000000" w:themeColor="text1"/>
          <w:spacing w:val="-8"/>
          <w:sz w:val="26"/>
          <w:szCs w:val="26"/>
          <w:lang w:val="en-GB"/>
          <w14:textFill>
            <w14:solidFill>
              <w14:schemeClr w14:val="tx1"/>
            </w14:solidFill>
          </w14:textFill>
        </w:rPr>
        <w:t>:</w:t>
      </w:r>
    </w:p>
    <w:p w14:paraId="05C45AE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nền tảng số điều hành hệ sinh thái ĐMST của tỉnh. </w:t>
      </w:r>
    </w:p>
    <w:p w14:paraId="58E01DD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cơ sở dữ liệu dùng chung phục vụ kết nối và hoạch định chính sách. </w:t>
      </w:r>
    </w:p>
    <w:p w14:paraId="28E5BDB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Nâng cao hiệu quả điều phối của Trung tâm ĐMST tỉnh. </w:t>
      </w:r>
    </w:p>
    <w:p w14:paraId="10ABCB95">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Tạo nền tảng cho quản trị hệ sinh thái ĐMST dựa trên dữ liệu số.</w:t>
      </w:r>
    </w:p>
    <w:p w14:paraId="29ADCC27">
      <w:pPr>
        <w:pStyle w:val="4"/>
        <w:rPr>
          <w:color w:val="000000" w:themeColor="text1"/>
          <w14:textFill>
            <w14:solidFill>
              <w14:schemeClr w14:val="tx1"/>
            </w14:solidFill>
          </w14:textFill>
        </w:rPr>
      </w:pPr>
      <w:bookmarkStart w:id="81" w:name="_Toc233183670"/>
      <w:r>
        <w:rPr>
          <w:color w:val="000000" w:themeColor="text1"/>
          <w14:textFill>
            <w14:solidFill>
              <w14:schemeClr w14:val="tx1"/>
            </w14:solidFill>
          </w14:textFill>
        </w:rPr>
        <w:t>3.2. Nhóm giải pháp phát triển doanh nghiệp và hoạt động ĐMST</w:t>
      </w:r>
      <w:bookmarkEnd w:id="81"/>
    </w:p>
    <w:p w14:paraId="0B7DB06A">
      <w:pPr>
        <w:pStyle w:val="5"/>
        <w:rPr>
          <w:color w:val="000000" w:themeColor="text1"/>
          <w14:textFill>
            <w14:solidFill>
              <w14:schemeClr w14:val="tx1"/>
            </w14:solidFill>
          </w14:textFill>
        </w:rPr>
      </w:pPr>
      <w:bookmarkStart w:id="82" w:name="_Toc233183671"/>
      <w:r>
        <w:rPr>
          <w:color w:val="000000" w:themeColor="text1"/>
          <w14:textFill>
            <w14:solidFill>
              <w14:schemeClr w14:val="tx1"/>
            </w14:solidFill>
          </w14:textFill>
        </w:rPr>
        <w:t>3.2.1. Giải pháp 7. Triển khai Chương trình hỗ trợ doanh nghiệp đổi mới công nghệ, chuyển đổi số và nâng cao năng lực ĐMST</w:t>
      </w:r>
      <w:bookmarkEnd w:id="82"/>
    </w:p>
    <w:p w14:paraId="6FE5877B">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Nghiên cứu xây dựng và triển khai chương trình hỗ trợ doanh nghiệp đánh giá hiện trạng công nghệ, xác định nhu cầu đổi mới và xây dựng lộ trình chuyển đổi số, chuyển đổi công nghệ phù hợp với từng ngành nghề. Ưu tiên doanh nghiệp công nghiệp chế biến chế tạo, du lịch, logistics, dược phẩm, nông nghiệp công nghệ cao và doanh nghiệp tham gia chuỗi cung ứng của các tập đoàn FDI. Kết quả cần đạt</w:t>
      </w:r>
      <w:r>
        <w:rPr>
          <w:color w:val="000000" w:themeColor="text1"/>
          <w:spacing w:val="-8"/>
          <w:sz w:val="26"/>
          <w:szCs w:val="26"/>
          <w:lang w:val="en-GB"/>
          <w14:textFill>
            <w14:solidFill>
              <w14:schemeClr w14:val="tx1"/>
            </w14:solidFill>
          </w14:textFill>
        </w:rPr>
        <w:t>:</w:t>
      </w:r>
    </w:p>
    <w:p w14:paraId="538B63A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Trên 40% doanh nghiệp có hoạt động ĐMST. </w:t>
      </w:r>
    </w:p>
    <w:p w14:paraId="257A118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Tối thiểu 30% doanh nghiệp đổi mới quy trình, mô hình kinh doanh hoặc ứng dụng công nghệ số. </w:t>
      </w:r>
    </w:p>
    <w:p w14:paraId="56FFFD94">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Nâng cao năng suất, chất lượng và năng lực cạnh tranh của doanh nghiệp địa phương. </w:t>
      </w:r>
    </w:p>
    <w:p w14:paraId="35AFE8D0">
      <w:pPr>
        <w:pStyle w:val="5"/>
        <w:rPr>
          <w:color w:val="000000" w:themeColor="text1"/>
          <w14:textFill>
            <w14:solidFill>
              <w14:schemeClr w14:val="tx1"/>
            </w14:solidFill>
          </w14:textFill>
        </w:rPr>
      </w:pPr>
      <w:bookmarkStart w:id="83" w:name="_Toc233183672"/>
      <w:r>
        <w:rPr>
          <w:color w:val="000000" w:themeColor="text1"/>
          <w14:textFill>
            <w14:solidFill>
              <w14:schemeClr w14:val="tx1"/>
            </w14:solidFill>
          </w14:textFill>
        </w:rPr>
        <w:t>3.2.2. Giải pháp 8. Triển khai Chương trình phát triển doanh nghiệp KNST, doanh nghiệp KH&amp;CN và doanh nghiệp ĐMST</w:t>
      </w:r>
      <w:bookmarkEnd w:id="83"/>
    </w:p>
    <w:p w14:paraId="3883496E">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Nghiên cứu xây dựng chương trình hỗ trợ doanh nghiệp từ giai đoạn hình thành ý tưởng đến giai đoạn tăng trưởng. Tổ chức</w:t>
      </w:r>
      <w:r>
        <w:rPr>
          <w:color w:val="000000" w:themeColor="text1"/>
          <w:spacing w:val="-8"/>
          <w:sz w:val="26"/>
          <w:szCs w:val="26"/>
          <w:lang w:val="en-GB"/>
          <w14:textFill>
            <w14:solidFill>
              <w14:schemeClr w14:val="tx1"/>
            </w14:solidFill>
          </w14:textFill>
        </w:rPr>
        <w:t xml:space="preserve"> các chương trình:</w:t>
      </w:r>
    </w:p>
    <w:p w14:paraId="1FA4E0F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Cuộc thi khởi nghiệp sáng tạo thường niên;</w:t>
      </w:r>
    </w:p>
    <w:p w14:paraId="1356718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Chương trình tiền ươm tạo; </w:t>
      </w:r>
    </w:p>
    <w:p w14:paraId="764E9BD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Chương trình ươm tạo; </w:t>
      </w:r>
    </w:p>
    <w:p w14:paraId="40BE5A3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tăng tốc khởi nghiệp; </w:t>
      </w:r>
    </w:p>
    <w:p w14:paraId="6198675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phát triển doanh nghiệp KH&amp;CN; </w:t>
      </w:r>
    </w:p>
    <w:p w14:paraId="2EC07F1F">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chuyển đổi doanh nghiệp truyền thống thành doanh nghiệp ĐMST. </w:t>
      </w:r>
    </w:p>
    <w:p w14:paraId="29D982EF">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Kết quả cần đạt</w:t>
      </w:r>
      <w:r>
        <w:rPr>
          <w:color w:val="000000" w:themeColor="text1"/>
          <w:spacing w:val="-8"/>
          <w:sz w:val="26"/>
          <w:szCs w:val="26"/>
          <w:lang w:val="en-GB"/>
          <w14:textFill>
            <w14:solidFill>
              <w14:schemeClr w14:val="tx1"/>
            </w14:solidFill>
          </w14:textFill>
        </w:rPr>
        <w:t>:</w:t>
      </w:r>
    </w:p>
    <w:p w14:paraId="1880C6E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Hỗ trợ hình thành và phát triển tối thiểu 150 doanh nghiệp KNST, doanh nghiệp KH&amp;CN và doanh nghiệp ĐMST. </w:t>
      </w:r>
    </w:p>
    <w:p w14:paraId="1F5BF2C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cộng đồng startup và doanh nghiệp công nghệ của tỉnh. </w:t>
      </w:r>
    </w:p>
    <w:p w14:paraId="257D61C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Gia tăng số lượng doanh nghiệp KH&amp;CN và doanh nghiệp công nghệ cao. </w:t>
      </w:r>
    </w:p>
    <w:p w14:paraId="561C226C">
      <w:pPr>
        <w:pStyle w:val="5"/>
        <w:rPr>
          <w:color w:val="000000" w:themeColor="text1"/>
          <w14:textFill>
            <w14:solidFill>
              <w14:schemeClr w14:val="tx1"/>
            </w14:solidFill>
          </w14:textFill>
        </w:rPr>
      </w:pPr>
      <w:bookmarkStart w:id="84" w:name="_Toc233183673"/>
      <w:r>
        <w:rPr>
          <w:color w:val="000000" w:themeColor="text1"/>
          <w14:textFill>
            <w14:solidFill>
              <w14:schemeClr w14:val="tx1"/>
            </w14:solidFill>
          </w14:textFill>
        </w:rPr>
        <w:t>3.2.3. Giải pháp 9. Triển khai Chương trình kết nối doanh nghiệp lớn, doanh nghiệp FDI với doanh nghiệp ĐMST địa phương</w:t>
      </w:r>
      <w:bookmarkEnd w:id="84"/>
    </w:p>
    <w:p w14:paraId="10616600">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 xml:space="preserve">Xây dựng cơ chế hợp tác giữa các doanh nghiệp FDI, doanh nghiệp đầu chuỗi và doanh nghiệp ĐMST địa phương thông qua mô hình ĐMST mở. </w:t>
      </w:r>
      <w:r>
        <w:rPr>
          <w:color w:val="000000" w:themeColor="text1"/>
          <w:spacing w:val="-8"/>
          <w:sz w:val="26"/>
          <w:szCs w:val="26"/>
          <w:lang w:val="en-GB"/>
          <w14:textFill>
            <w14:solidFill>
              <w14:schemeClr w14:val="tx1"/>
            </w14:solidFill>
          </w14:textFill>
        </w:rPr>
        <w:t xml:space="preserve">Các cơ chế hợp tác bao gồm: </w:t>
      </w:r>
    </w:p>
    <w:p w14:paraId="0392BC8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Kết nối Tập đoàn – Startup; </w:t>
      </w:r>
    </w:p>
    <w:p w14:paraId="2F577F8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Đặt hàng đổi mới công nghệ từ doanh nghiệp; </w:t>
      </w:r>
    </w:p>
    <w:p w14:paraId="4AC43AE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Innovation Challenge; </w:t>
      </w:r>
    </w:p>
    <w:p w14:paraId="6513A59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Hackathon theo bài toán thực tiễn của doanh nghiệp. </w:t>
      </w:r>
    </w:p>
    <w:p w14:paraId="3DC4D2F2">
      <w:pPr>
        <w:pStyle w:val="55"/>
        <w:tabs>
          <w:tab w:val="left" w:pos="720"/>
          <w:tab w:val="left" w:pos="990"/>
        </w:tabs>
        <w:spacing w:before="120" w:line="312" w:lineRule="auto"/>
        <w:ind w:left="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Đồng thời hỗ trợ doanh nghiệp địa phương nâng cấp năng lực sản xuất, tiêu chuẩn chất lượng và quản trị để tham gia chuỗi cung ứng. Kết quả cần đạt</w:t>
      </w:r>
    </w:p>
    <w:p w14:paraId="42DD6B2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Hình thành mạng lưới hợp tác giữa doanh nghiệp FDI và doanh nghiệp địa phương. </w:t>
      </w:r>
    </w:p>
    <w:p w14:paraId="436382F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Gia tăng số doanh nghiệp tham gia chuỗi cung ứng công nghệ cao. </w:t>
      </w:r>
    </w:p>
    <w:p w14:paraId="5BA41D7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Hình thành các dự án hợp tác nghiên cứu và chuyển giao công nghệ. </w:t>
      </w:r>
    </w:p>
    <w:p w14:paraId="420C237F">
      <w:pPr>
        <w:pStyle w:val="5"/>
        <w:rPr>
          <w:color w:val="000000" w:themeColor="text1"/>
          <w14:textFill>
            <w14:solidFill>
              <w14:schemeClr w14:val="tx1"/>
            </w14:solidFill>
          </w14:textFill>
        </w:rPr>
      </w:pPr>
      <w:bookmarkStart w:id="85" w:name="_Toc233183674"/>
      <w:r>
        <w:rPr>
          <w:color w:val="000000" w:themeColor="text1"/>
          <w14:textFill>
            <w14:solidFill>
              <w14:schemeClr w14:val="tx1"/>
            </w14:solidFill>
          </w14:textFill>
        </w:rPr>
        <w:t>3.2.4. Giải pháp 10. Triển khai Chương trình hỗ trợ thương mại hóa sản phẩm và kết quả ĐMST</w:t>
      </w:r>
      <w:bookmarkEnd w:id="85"/>
    </w:p>
    <w:p w14:paraId="66BA85DE">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 xml:space="preserve">Hỗ trợ doanh nghiệp hoàn thiện công nghệ, sản phẩm, tiêu chuẩn chất lượng, sở hữu trí tuệ và phát triển thị trường. </w:t>
      </w:r>
      <w:r>
        <w:rPr>
          <w:color w:val="000000" w:themeColor="text1"/>
          <w:spacing w:val="-8"/>
          <w:sz w:val="26"/>
          <w:szCs w:val="26"/>
          <w:lang w:val="en-GB"/>
          <w14:textFill>
            <w14:solidFill>
              <w14:schemeClr w14:val="tx1"/>
            </w14:solidFill>
          </w14:textFill>
        </w:rPr>
        <w:t>Các hoạt động cần t</w:t>
      </w:r>
      <w:r>
        <w:rPr>
          <w:color w:val="000000" w:themeColor="text1"/>
          <w:spacing w:val="-8"/>
          <w:sz w:val="26"/>
          <w:szCs w:val="26"/>
          <w:lang w:val="vi-VN"/>
          <w14:textFill>
            <w14:solidFill>
              <w14:schemeClr w14:val="tx1"/>
            </w14:solidFill>
          </w14:textFill>
        </w:rPr>
        <w:t>ổ chức</w:t>
      </w:r>
      <w:r>
        <w:rPr>
          <w:color w:val="000000" w:themeColor="text1"/>
          <w:spacing w:val="-8"/>
          <w:sz w:val="26"/>
          <w:szCs w:val="26"/>
          <w:lang w:val="en-GB"/>
          <w14:textFill>
            <w14:solidFill>
              <w14:schemeClr w14:val="tx1"/>
            </w14:solidFill>
          </w14:textFill>
        </w:rPr>
        <w:t xml:space="preserve"> định kỳ:</w:t>
      </w:r>
    </w:p>
    <w:p w14:paraId="1CAE817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Sàn giao dịch công nghệ; </w:t>
      </w:r>
    </w:p>
    <w:p w14:paraId="6DA9C10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Techfest Ninh Bình; </w:t>
      </w:r>
    </w:p>
    <w:p w14:paraId="245FA4C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Ngày hội kết nối cung cầu công nghệ; </w:t>
      </w:r>
    </w:p>
    <w:p w14:paraId="044141C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xúc tiến thương mại cho sản phẩm ĐMST; </w:t>
      </w:r>
    </w:p>
    <w:p w14:paraId="5685672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hỗ trợ sở hữu trí tuệ. </w:t>
      </w:r>
    </w:p>
    <w:p w14:paraId="56D41B2A">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Kết quả cần đạt</w:t>
      </w:r>
      <w:r>
        <w:rPr>
          <w:color w:val="000000" w:themeColor="text1"/>
          <w:spacing w:val="-8"/>
          <w:sz w:val="26"/>
          <w:szCs w:val="26"/>
          <w:lang w:val="en-GB"/>
          <w14:textFill>
            <w14:solidFill>
              <w14:schemeClr w14:val="tx1"/>
            </w14:solidFill>
          </w14:textFill>
        </w:rPr>
        <w:t>:</w:t>
      </w:r>
    </w:p>
    <w:p w14:paraId="2222F0B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Hỗ trợ thương mại hóa tối thiểu 50 sản phẩm, giải pháp công nghệ hoặc mô hình kinh doanh ĐMST. </w:t>
      </w:r>
    </w:p>
    <w:p w14:paraId="3179DA93">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Hỗ trợ tối thiểu 30 dự án ĐMST, chuyển đổi số hoặc ứng dụng công nghệ có tiềm năng phát triển. </w:t>
      </w:r>
    </w:p>
    <w:p w14:paraId="2AC30C6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Gia tăng doanh thu từ sản phẩm và dịch vụ ĐMST. </w:t>
      </w:r>
    </w:p>
    <w:p w14:paraId="17C06EF7">
      <w:pPr>
        <w:pStyle w:val="5"/>
        <w:rPr>
          <w:color w:val="000000" w:themeColor="text1"/>
          <w14:textFill>
            <w14:solidFill>
              <w14:schemeClr w14:val="tx1"/>
            </w14:solidFill>
          </w14:textFill>
        </w:rPr>
      </w:pPr>
      <w:bookmarkStart w:id="86" w:name="_Toc233183675"/>
      <w:r>
        <w:rPr>
          <w:color w:val="000000" w:themeColor="text1"/>
          <w14:textFill>
            <w14:solidFill>
              <w14:schemeClr w14:val="tx1"/>
            </w14:solidFill>
          </w14:textFill>
        </w:rPr>
        <w:t>3.2.5. Giải pháp 11. Triển khai Chương trình hỗ trợ tiếp cận vốn và huy động nguồn lực cho doanh nghiệp ĐMST</w:t>
      </w:r>
      <w:bookmarkEnd w:id="86"/>
    </w:p>
    <w:p w14:paraId="4C6DCA81">
      <w:pPr>
        <w:pStyle w:val="55"/>
        <w:tabs>
          <w:tab w:val="left" w:pos="720"/>
          <w:tab w:val="left" w:pos="990"/>
        </w:tabs>
        <w:spacing w:before="120" w:line="312" w:lineRule="auto"/>
        <w:ind w:left="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Xây dựng cơ chế hỗ trợ tài chính cho doanh nghiệp ĐMST thông qua:</w:t>
      </w:r>
    </w:p>
    <w:p w14:paraId="2AFE895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Quỹ hỗ trợ ĐMST hoặc mô hình đồng đầu tư; </w:t>
      </w:r>
    </w:p>
    <w:p w14:paraId="01E867B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hỗ trợ đồng tài trợ (co-funding); </w:t>
      </w:r>
    </w:p>
    <w:p w14:paraId="4BE084E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Mạng lưới nhà đầu tư thiên thần; </w:t>
      </w:r>
    </w:p>
    <w:p w14:paraId="7F57FB3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Ngày hội kết nối đầu tư (Investor Day); </w:t>
      </w:r>
    </w:p>
    <w:p w14:paraId="6D4E827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Chương trình tư vấn gọi vốn. </w:t>
      </w:r>
    </w:p>
    <w:p w14:paraId="77F0F71C">
      <w:pPr>
        <w:pStyle w:val="55"/>
        <w:tabs>
          <w:tab w:val="left" w:pos="720"/>
          <w:tab w:val="left" w:pos="990"/>
        </w:tabs>
        <w:spacing w:before="120" w:line="312" w:lineRule="auto"/>
        <w:ind w:left="0"/>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ab/>
      </w:r>
      <w:r>
        <w:rPr>
          <w:color w:val="000000" w:themeColor="text1"/>
          <w:spacing w:val="-8"/>
          <w:sz w:val="26"/>
          <w:szCs w:val="26"/>
          <w:lang w:val="vi-VN"/>
          <w14:textFill>
            <w14:solidFill>
              <w14:schemeClr w14:val="tx1"/>
            </w14:solidFill>
          </w14:textFill>
        </w:rPr>
        <w:t>Kết quả cần đạt</w:t>
      </w:r>
      <w:r>
        <w:rPr>
          <w:color w:val="000000" w:themeColor="text1"/>
          <w:spacing w:val="-8"/>
          <w:sz w:val="26"/>
          <w:szCs w:val="26"/>
          <w:lang w:val="en-GB"/>
          <w14:textFill>
            <w14:solidFill>
              <w14:schemeClr w14:val="tx1"/>
            </w14:solidFill>
          </w14:textFill>
        </w:rPr>
        <w:t>:</w:t>
      </w:r>
    </w:p>
    <w:p w14:paraId="7244D73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Nâng cao khả năng tiếp cận vốn của doanh nghiệp ĐMST. </w:t>
      </w:r>
    </w:p>
    <w:p w14:paraId="560073E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Gia tăng số lượng dự án gọi vốn thành công. </w:t>
      </w:r>
    </w:p>
    <w:p w14:paraId="6A6B3D8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Thu hút nguồn lực xã hội cho hoạt động ĐMST và khởi nghiệp sáng tạo. </w:t>
      </w:r>
    </w:p>
    <w:p w14:paraId="2F256C38">
      <w:pPr>
        <w:pStyle w:val="5"/>
        <w:rPr>
          <w:color w:val="000000" w:themeColor="text1"/>
          <w14:textFill>
            <w14:solidFill>
              <w14:schemeClr w14:val="tx1"/>
            </w14:solidFill>
          </w14:textFill>
        </w:rPr>
      </w:pPr>
      <w:bookmarkStart w:id="87" w:name="_Toc233183676"/>
      <w:r>
        <w:rPr>
          <w:color w:val="000000" w:themeColor="text1"/>
          <w14:textFill>
            <w14:solidFill>
              <w14:schemeClr w14:val="tx1"/>
            </w14:solidFill>
          </w14:textFill>
        </w:rPr>
        <w:t>3.2.6. Giải pháp 12. Triển khai Chương trình thu hút trung tâm R&amp;D và doanh nghiệp công nghệ cao đầu tư tại tỉnh</w:t>
      </w:r>
      <w:bookmarkEnd w:id="87"/>
    </w:p>
    <w:p w14:paraId="49B56EF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Nghiên cứu xây dựng và ban hành danh mục dự án ưu tiên thu hút đầu tư vào các lĩnh vực: AI; Điện tử - bán dẫn; Robot và tự động hóa; Công nghệ sinh học; Dược phẩm; Công nghệ phục vụ du lịch thông minh. </w:t>
      </w:r>
    </w:p>
    <w:p w14:paraId="506E0225">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Triển khai cơ chế ưu đãi đặc thù đối với trung tâm R&amp;D, phòng thí nghiệm doanh nghiệp, trung tâm thiết kế và trung tâm đổi mới công nghệ.</w:t>
      </w:r>
    </w:p>
    <w:p w14:paraId="2755232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Kết nối với các tập đoàn trong nước và quốc tế để hình thành các trung tâm nghiên cứu, thử nghiệm và phát triển sản phẩm tại Ninh Bình.</w:t>
      </w:r>
    </w:p>
    <w:p w14:paraId="0833581B">
      <w:pPr>
        <w:pStyle w:val="55"/>
        <w:tabs>
          <w:tab w:val="left" w:pos="720"/>
          <w:tab w:val="left" w:pos="990"/>
        </w:tabs>
        <w:spacing w:before="120" w:line="312" w:lineRule="auto"/>
        <w:ind w:left="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Kết quả cần đạt</w:t>
      </w:r>
    </w:p>
    <w:p w14:paraId="34C7C6B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Thu hút từ 01–02 trung tâm R&amp;D của doanh nghiệp trong nước hoặc quốc tế. </w:t>
      </w:r>
    </w:p>
    <w:p w14:paraId="6F1F628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Hình thành năng lực nghiên cứu ứng dụng và phát triển công nghệ tại địa phương. </w:t>
      </w:r>
    </w:p>
    <w:p w14:paraId="22148FA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Gia tăng liên kết giữa doanh nghiệp, cơ sở nghiên cứu và cơ sở đào tạo.</w:t>
      </w:r>
    </w:p>
    <w:p w14:paraId="09D861E0">
      <w:pPr>
        <w:pStyle w:val="4"/>
        <w:rPr>
          <w:color w:val="000000" w:themeColor="text1"/>
          <w14:textFill>
            <w14:solidFill>
              <w14:schemeClr w14:val="tx1"/>
            </w14:solidFill>
          </w14:textFill>
        </w:rPr>
      </w:pPr>
      <w:bookmarkStart w:id="88" w:name="_Toc233183677"/>
      <w:r>
        <w:rPr>
          <w:color w:val="000000" w:themeColor="text1"/>
          <w14:textFill>
            <w14:solidFill>
              <w14:schemeClr w14:val="tx1"/>
            </w14:solidFill>
          </w14:textFill>
        </w:rPr>
        <w:t>3.3. Nhóm giải pháp phát triển khoa học, công nghệ và chuyển giao công nghệ</w:t>
      </w:r>
      <w:bookmarkEnd w:id="88"/>
    </w:p>
    <w:p w14:paraId="4D2F7E2E">
      <w:pPr>
        <w:pStyle w:val="5"/>
        <w:rPr>
          <w:color w:val="000000" w:themeColor="text1"/>
          <w14:textFill>
            <w14:solidFill>
              <w14:schemeClr w14:val="tx1"/>
            </w14:solidFill>
          </w14:textFill>
        </w:rPr>
      </w:pPr>
      <w:bookmarkStart w:id="89" w:name="_Toc233183678"/>
      <w:r>
        <w:rPr>
          <w:color w:val="000000" w:themeColor="text1"/>
          <w14:textFill>
            <w14:solidFill>
              <w14:schemeClr w14:val="tx1"/>
            </w14:solidFill>
          </w14:textFill>
        </w:rPr>
        <w:t>3.3.1. Giải pháp 13. Triển khai Chương trình phát triển tài sản trí tuệ và thương mại hóa kết quả nghiên cứu</w:t>
      </w:r>
      <w:bookmarkEnd w:id="89"/>
    </w:p>
    <w:p w14:paraId="3208803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Xây dựng chương trình hỗ trợ các doanh nghiệp, cơ sở giáo dục, tổ chức khoa học và công nghệ đăng ký bảo hộ tài sản trí tuệ, khai thác và thương mại hóa kết quả nghiên cứu. Ưu tiên hỗ trợ:</w:t>
      </w:r>
    </w:p>
    <w:p w14:paraId="0B2B2E6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Đăng ký sáng chế, giải pháp hữu ích, kiểu dáng công nghiệp và nhãn hiệu; </w:t>
      </w:r>
    </w:p>
    <w:p w14:paraId="129FBAE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Xây dựng chiến lược sở hữu trí tuệ cho doanh nghiệp; </w:t>
      </w:r>
    </w:p>
    <w:p w14:paraId="14D2CE9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Định giá tài sản trí tuệ; </w:t>
      </w:r>
    </w:p>
    <w:p w14:paraId="764C756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Chuyển giao, nhượng quyền và thương mại hóa công nghệ; </w:t>
      </w:r>
    </w:p>
    <w:p w14:paraId="6E410EF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Hỗ trợ doanh nghiệp KH&amp;CN và doanh nghiệp ĐMST tiếp cận thị trường trong nước và quốc tế. </w:t>
      </w:r>
    </w:p>
    <w:p w14:paraId="50E8010E">
      <w:pPr>
        <w:spacing w:before="120" w:line="312" w:lineRule="auto"/>
        <w:ind w:firstLine="720"/>
        <w:rPr>
          <w:color w:val="000000" w:themeColor="text1"/>
          <w:sz w:val="26"/>
          <w:szCs w:val="26"/>
          <w:lang w:val="en-GB"/>
          <w14:textFill>
            <w14:solidFill>
              <w14:schemeClr w14:val="tx1"/>
            </w14:solidFill>
          </w14:textFill>
        </w:rPr>
      </w:pPr>
      <w:r>
        <w:rPr>
          <w:color w:val="000000" w:themeColor="text1"/>
          <w:sz w:val="26"/>
          <w:szCs w:val="26"/>
          <w:lang w:val="vi-VN"/>
          <w14:textFill>
            <w14:solidFill>
              <w14:schemeClr w14:val="tx1"/>
            </w14:solidFill>
          </w14:textFill>
        </w:rPr>
        <w:t>Đồng thời phát triển đội ngũ tư vấn sở hữu trí tuệ, chuyên gia định giá công nghệ và các tổ chức trung gian hỗ trợ thương mại hóa công nghệ. Kết quả cần đạt</w:t>
      </w:r>
      <w:r>
        <w:rPr>
          <w:color w:val="000000" w:themeColor="text1"/>
          <w:sz w:val="26"/>
          <w:szCs w:val="26"/>
          <w:lang w:val="en-GB"/>
          <w14:textFill>
            <w14:solidFill>
              <w14:schemeClr w14:val="tx1"/>
            </w14:solidFill>
          </w14:textFill>
        </w:rPr>
        <w:t>:</w:t>
      </w:r>
    </w:p>
    <w:p w14:paraId="6F7D628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Tốc độ tăng số lượng đơn đăng ký sáng chế, giải pháp hữu ích và văn bằng bảo hộ đạt trung bình từ 10–12%/năm. </w:t>
      </w:r>
    </w:p>
    <w:p w14:paraId="3838E8B3">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Gia tăng tỷ lệ khai thác và thương mại hóa tài sản trí tuệ. </w:t>
      </w:r>
    </w:p>
    <w:p w14:paraId="7A43DBD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hệ thống hỗ trợ sở hữu trí tuệ và thương mại hóa công nghệ trên địa bàn tỉnh. </w:t>
      </w:r>
    </w:p>
    <w:p w14:paraId="1855A585">
      <w:pPr>
        <w:pStyle w:val="5"/>
        <w:rPr>
          <w:color w:val="000000" w:themeColor="text1"/>
          <w14:textFill>
            <w14:solidFill>
              <w14:schemeClr w14:val="tx1"/>
            </w14:solidFill>
          </w14:textFill>
        </w:rPr>
      </w:pPr>
      <w:bookmarkStart w:id="90" w:name="_Toc233183679"/>
      <w:r>
        <w:rPr>
          <w:color w:val="000000" w:themeColor="text1"/>
          <w14:textFill>
            <w14:solidFill>
              <w14:schemeClr w14:val="tx1"/>
            </w14:solidFill>
          </w14:textFill>
        </w:rPr>
        <w:t>3.3.2. Giải pháp 14. Triển khai Chương trình liên kết Viện – Trường – Doanh nghiệp phục vụ nghiên cứu ứng dụng và chuyển giao công nghệ</w:t>
      </w:r>
      <w:bookmarkEnd w:id="90"/>
    </w:p>
    <w:p w14:paraId="28BB8DB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Thành lập và vận hành Hội đồng Liên kết Viện – Trường – Doanh nghiệp tỉnh Ninh Bình nhằm tạo cơ chế phối hợp thường xuyên giữa doanh nghiệp, cơ sở giáo dục, viện nghiên cứu và cơ quan quản lý nhà nước. Định kỳ tổ chức:</w:t>
      </w:r>
    </w:p>
    <w:p w14:paraId="3E37D03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Diễn đàn kết nối cung – cầu công nghệ; </w:t>
      </w:r>
    </w:p>
    <w:p w14:paraId="7E3B8CB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Hội nghị đặt hàng nghiên cứu từ doanh nghiệp; </w:t>
      </w:r>
    </w:p>
    <w:p w14:paraId="4D9163C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hợp tác nghiên cứu ứng dụng; </w:t>
      </w:r>
    </w:p>
    <w:p w14:paraId="5DAD9E5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thực tập, đào tạo và phát triển nhân lực theo nhu cầu doanh nghiệp. </w:t>
      </w:r>
    </w:p>
    <w:p w14:paraId="68A0294C">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Xây dựng danh mục các bài toán công nghệ trọng điểm của doanh nghiệp để đặt hàng các cơ sở nghiên cứu và cơ sở giáo dục tham gia giải quyết. Kết quả cần đạt</w:t>
      </w:r>
    </w:p>
    <w:p w14:paraId="635D439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Hình thành mạng lưới liên kết Viện – Trường – Doanh nghiệp cấp tỉnh. </w:t>
      </w:r>
    </w:p>
    <w:p w14:paraId="0BF5EE4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Tăng cường hợp tác nghiên cứu ứng dụng và chuyển giao công nghệ. </w:t>
      </w:r>
    </w:p>
    <w:p w14:paraId="74C353D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Gắn kết hoạt động đào tạo, nghiên cứu với nhu cầu thực tiễn của doanh nghiệp. </w:t>
      </w:r>
    </w:p>
    <w:p w14:paraId="04743979">
      <w:pPr>
        <w:pStyle w:val="5"/>
        <w:rPr>
          <w:color w:val="000000" w:themeColor="text1"/>
          <w14:textFill>
            <w14:solidFill>
              <w14:schemeClr w14:val="tx1"/>
            </w14:solidFill>
          </w14:textFill>
        </w:rPr>
      </w:pPr>
      <w:bookmarkStart w:id="91" w:name="_Toc233183680"/>
      <w:r>
        <w:rPr>
          <w:color w:val="000000" w:themeColor="text1"/>
          <w14:textFill>
            <w14:solidFill>
              <w14:schemeClr w14:val="tx1"/>
            </w14:solidFill>
          </w14:textFill>
        </w:rPr>
        <w:t>3.3.3. Giải pháp 15. Triển khai Chương trình hỗ trợ doanh nghiệp nghiên cứu, đổi mới công nghệ và chuyển giao công nghệ</w:t>
      </w:r>
      <w:bookmarkEnd w:id="91"/>
    </w:p>
    <w:p w14:paraId="79CD8CA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Xây dựng cơ chế hỗ trợ doanh nghiệp triển khai các dự án nghiên cứu ứng dụng, cải tiến công nghệ, chuyển đổi công nghệ và đổi mới quy trình sản xuất, ưu tiên doanh nghiệp nhỏ và vừa; doanh nghiệp công nghiệp hỗ trợ; doanh nghiệp công nghệ. Hỗ trợ doanh nghiệp:</w:t>
      </w:r>
    </w:p>
    <w:p w14:paraId="5D9AD21D">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Tiếp cận chuyên gia; </w:t>
      </w:r>
    </w:p>
    <w:p w14:paraId="177B99C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Tiếp cận phòng thí nghiệm; </w:t>
      </w:r>
    </w:p>
    <w:p w14:paraId="7BC60DD9">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Tiếp cận cơ sở dữ liệu công nghệ; </w:t>
      </w:r>
    </w:p>
    <w:p w14:paraId="780E3963">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Tham gia các chương trình chuyển giao công nghệ trong nước và quốc tế. </w:t>
      </w:r>
    </w:p>
    <w:p w14:paraId="54BC790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Kết quả cần đạt</w:t>
      </w:r>
    </w:p>
    <w:p w14:paraId="5D7C21AA">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Tối thiểu 25% doanh nghiệp nhỏ và vừa tham gia các hoạt động hợp tác nghiên cứu, đổi mới công nghệ hoặc chuyển giao công nghệ. </w:t>
      </w:r>
    </w:p>
    <w:p w14:paraId="7E2456F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Gia tăng năng lực hấp thụ và làm chủ công nghệ của doanh nghiệp địa phương. </w:t>
      </w:r>
    </w:p>
    <w:p w14:paraId="53292443">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Hình thành các dự án nghiên cứu ứng dụng xuất phát từ nhu cầu doanh nghiệp. </w:t>
      </w:r>
    </w:p>
    <w:p w14:paraId="6C60F2C8">
      <w:pPr>
        <w:pStyle w:val="5"/>
        <w:rPr>
          <w:color w:val="000000" w:themeColor="text1"/>
          <w14:textFill>
            <w14:solidFill>
              <w14:schemeClr w14:val="tx1"/>
            </w14:solidFill>
          </w14:textFill>
        </w:rPr>
      </w:pPr>
      <w:bookmarkStart w:id="92" w:name="_Toc233183681"/>
      <w:r>
        <w:rPr>
          <w:color w:val="000000" w:themeColor="text1"/>
          <w14:textFill>
            <w14:solidFill>
              <w14:schemeClr w14:val="tx1"/>
            </w14:solidFill>
          </w14:textFill>
        </w:rPr>
        <w:t>3.3.4. Giải pháp 16. Phát triển hạ tầng nghiên cứu ứng dụng, thử nghiệm và chuyển giao công nghệ phục vụ các ngành ưu tiên</w:t>
      </w:r>
      <w:bookmarkEnd w:id="92"/>
    </w:p>
    <w:p w14:paraId="5E4ED7B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Đầu tư và huy động nguồn lực xã hội để phát triển các trung tâm nghiên cứu ứng dụng, phòng thí nghiệm và không gian thử nghiệm công nghệ phục vụ doanh nghiệp. Ưu tiên triển khai:</w:t>
      </w:r>
    </w:p>
    <w:p w14:paraId="11B596D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Phòng thí nghiệm đóng gói và kiểm thử bán dẫn tại Khu Đại học Nam Cao; </w:t>
      </w:r>
    </w:p>
    <w:p w14:paraId="7E6975E5">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Trung tâm nghiên cứu khoa học sự sống và công nghệ sinh học; </w:t>
      </w:r>
    </w:p>
    <w:p w14:paraId="2EDCDBB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Trung tâm nghiên cứu dược liệu và dược phẩm; </w:t>
      </w:r>
    </w:p>
    <w:p w14:paraId="69E4AE6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Các trung tâm thử nghiệm công nghệ. </w:t>
      </w:r>
    </w:p>
    <w:p w14:paraId="0503797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Khuyến khích doanh nghiệp tham gia đầu tư, khai thác và sử dụng chung hạ tầng nghiên cứu. Kết quả cần đạt</w:t>
      </w:r>
    </w:p>
    <w:p w14:paraId="7158829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Hình thành các hạ tầng nghiên cứu và thử nghiệm phục vụ hoạt động ĐMST. </w:t>
      </w:r>
    </w:p>
    <w:p w14:paraId="6B97581C">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Nâng cao năng lực nghiên cứu ứng dụng và chuyển giao công nghệ của tỉnh. </w:t>
      </w:r>
    </w:p>
    <w:p w14:paraId="281C284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Tạo môi trường thuận lợi cho doanh nghiệp thử nghiệm và hoàn thiện công nghệ mới. </w:t>
      </w:r>
    </w:p>
    <w:p w14:paraId="5B41FA3E">
      <w:pPr>
        <w:pStyle w:val="5"/>
        <w:rPr>
          <w:color w:val="000000" w:themeColor="text1"/>
          <w14:textFill>
            <w14:solidFill>
              <w14:schemeClr w14:val="tx1"/>
            </w14:solidFill>
          </w14:textFill>
        </w:rPr>
      </w:pPr>
      <w:bookmarkStart w:id="93" w:name="_Toc233183682"/>
      <w:r>
        <w:rPr>
          <w:color w:val="000000" w:themeColor="text1"/>
          <w14:textFill>
            <w14:solidFill>
              <w14:schemeClr w14:val="tx1"/>
            </w14:solidFill>
          </w14:textFill>
        </w:rPr>
        <w:t>3.3.5. Giải pháp 17. Phát huy vai trò của Sàn giao dịch công nghệ và nền tảng số trong kết nối chuyển giao công nghệ</w:t>
      </w:r>
      <w:bookmarkEnd w:id="93"/>
    </w:p>
    <w:p w14:paraId="0D29FD2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Nâng cấp và phát huy hiệu quả Sàn giao dịch công nghệ của tỉnh theo hướng trở thành nền tảng kết nối giữa nhu cầu công nghệ của doanh nghiệp với nguồn cung công nghệ từ các cơ sở nghiên cứu, trường đại học và tổ chức khoa học công nghệ. Kết nối Sàn giao dịch công nghệ với:</w:t>
      </w:r>
    </w:p>
    <w:p w14:paraId="1EE2B3B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Nền tảng Ninh Binh Innovation Port; </w:t>
      </w:r>
    </w:p>
    <w:p w14:paraId="7A1448F1">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Các sàn giao dịch công nghệ quốc gia; </w:t>
      </w:r>
    </w:p>
    <w:p w14:paraId="773F35DE">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Các tổ chức trung gian hỗ trợ ĐMST; </w:t>
      </w:r>
    </w:p>
    <w:p w14:paraId="4F026A4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Các mạng lưới chuyên gia trong và ngoài nước. </w:t>
      </w:r>
    </w:p>
    <w:p w14:paraId="2AB3FD89">
      <w:pPr>
        <w:spacing w:before="120" w:line="312" w:lineRule="auto"/>
        <w:ind w:firstLine="720"/>
        <w:rPr>
          <w:color w:val="000000" w:themeColor="text1"/>
          <w:sz w:val="26"/>
          <w:szCs w:val="26"/>
          <w:lang w:val="en-GB"/>
          <w14:textFill>
            <w14:solidFill>
              <w14:schemeClr w14:val="tx1"/>
            </w14:solidFill>
          </w14:textFill>
        </w:rPr>
      </w:pPr>
      <w:r>
        <w:rPr>
          <w:color w:val="000000" w:themeColor="text1"/>
          <w:sz w:val="26"/>
          <w:szCs w:val="26"/>
          <w:lang w:val="vi-VN"/>
          <w14:textFill>
            <w14:solidFill>
              <w14:schemeClr w14:val="tx1"/>
            </w14:solidFill>
          </w14:textFill>
        </w:rPr>
        <w:t>Xây dựng cơ sở dữ liệu công nghệ, chuyên gia, sáng chế và kết quả nghiên cứu sẵn sàng chuyển giao. Kết quả cần đạt</w:t>
      </w:r>
      <w:r>
        <w:rPr>
          <w:color w:val="000000" w:themeColor="text1"/>
          <w:sz w:val="26"/>
          <w:szCs w:val="26"/>
          <w:lang w:val="en-GB"/>
          <w14:textFill>
            <w14:solidFill>
              <w14:schemeClr w14:val="tx1"/>
            </w14:solidFill>
          </w14:textFill>
        </w:rPr>
        <w:t>:</w:t>
      </w:r>
    </w:p>
    <w:p w14:paraId="56123F25">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Gia tăng số lượng giao dịch công nghệ và hoạt động kết nối cung – cầu công nghệ. </w:t>
      </w:r>
    </w:p>
    <w:p w14:paraId="150D482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Nâng cao hiệu quả khai thác kết quả nghiên cứu khoa học. </w:t>
      </w:r>
    </w:p>
    <w:p w14:paraId="3995041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en-GB"/>
          <w14:textFill>
            <w14:solidFill>
              <w14:schemeClr w14:val="tx1"/>
            </w14:solidFill>
          </w14:textFill>
        </w:rPr>
        <w:t xml:space="preserve"> </w:t>
      </w:r>
      <w:r>
        <w:rPr>
          <w:color w:val="000000" w:themeColor="text1"/>
          <w:spacing w:val="-8"/>
          <w:sz w:val="26"/>
          <w:szCs w:val="26"/>
          <w:lang w:val="vi-VN"/>
          <w14:textFill>
            <w14:solidFill>
              <w14:schemeClr w14:val="tx1"/>
            </w14:solidFill>
          </w14:textFill>
        </w:rPr>
        <w:t xml:space="preserve">Hình thành hệ sinh thái chuyển giao công nghệ dựa trên nền tảng số. </w:t>
      </w:r>
    </w:p>
    <w:p w14:paraId="24CAA1A0">
      <w:pPr>
        <w:pStyle w:val="4"/>
        <w:rPr>
          <w:color w:val="000000" w:themeColor="text1"/>
          <w14:textFill>
            <w14:solidFill>
              <w14:schemeClr w14:val="tx1"/>
            </w14:solidFill>
          </w14:textFill>
        </w:rPr>
      </w:pPr>
      <w:bookmarkStart w:id="94" w:name="_Toc233183683"/>
      <w:r>
        <w:rPr>
          <w:color w:val="000000" w:themeColor="text1"/>
          <w14:textFill>
            <w14:solidFill>
              <w14:schemeClr w14:val="tx1"/>
            </w14:solidFill>
          </w14:textFill>
        </w:rPr>
        <w:t>3.4. Nhóm giải pháp phát triển nhân lực và nâng cao năng lực hệ sinh thái</w:t>
      </w:r>
      <w:bookmarkEnd w:id="94"/>
    </w:p>
    <w:p w14:paraId="0CA7449B">
      <w:pPr>
        <w:pStyle w:val="5"/>
        <w:rPr>
          <w:color w:val="000000" w:themeColor="text1"/>
          <w14:textFill>
            <w14:solidFill>
              <w14:schemeClr w14:val="tx1"/>
            </w14:solidFill>
          </w14:textFill>
        </w:rPr>
      </w:pPr>
      <w:bookmarkStart w:id="95" w:name="_Toc233183684"/>
      <w:r>
        <w:rPr>
          <w:color w:val="000000" w:themeColor="text1"/>
          <w14:textFill>
            <w14:solidFill>
              <w14:schemeClr w14:val="tx1"/>
            </w14:solidFill>
          </w14:textFill>
        </w:rPr>
        <w:t>3.4.1. Giải pháp 18. Triển khai Chương trình phát triển nguồn nhân lực phục vụ các ngành kinh tế trọng điểm và lĩnh vực công nghệ ưu tiên</w:t>
      </w:r>
      <w:bookmarkEnd w:id="95"/>
    </w:p>
    <w:p w14:paraId="07FF9ABF">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Xây dựng chương trình hợp tác giữa tỉnh với các trường đại học, cơ sở giáo dục nghề nghiệp, viện nghiên cứu và tổ chức đào tạo trong nước và quốc tế nhằm phát triển nguồn nhân lực phục vụ các ngành kinh tế trọng điểm và các lĩnh vực công nghệ ưu tiên.</w:t>
      </w:r>
    </w:p>
    <w:p w14:paraId="73E039D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Tăng cường liên kết giữa doanh nghiệp và cơ sở đào tạo trong xây dựng chương trình đào tạo, thực tập, nghiên cứu ứng dụng và đào tạo theo nhu cầu thị trường.</w:t>
      </w:r>
    </w:p>
    <w:p w14:paraId="7C1816F7">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Phát huy vai trò của Khu Đại học Nam Cao và các cơ sở giáo dục trên địa bàn tỉnh trong đào tạo nguồn nhân lực chất lượng cao.</w:t>
      </w:r>
    </w:p>
    <w:p w14:paraId="4335F98A">
      <w:pPr>
        <w:spacing w:before="120" w:line="312" w:lineRule="auto"/>
        <w:ind w:firstLine="720"/>
        <w:rPr>
          <w:color w:val="000000" w:themeColor="text1"/>
          <w:sz w:val="26"/>
          <w:szCs w:val="26"/>
          <w:lang w:val="en-GB"/>
          <w14:textFill>
            <w14:solidFill>
              <w14:schemeClr w14:val="tx1"/>
            </w14:solidFill>
          </w14:textFill>
        </w:rPr>
      </w:pPr>
      <w:r>
        <w:rPr>
          <w:color w:val="000000" w:themeColor="text1"/>
          <w:sz w:val="26"/>
          <w:szCs w:val="26"/>
          <w:lang w:val="en-GB"/>
          <w14:textFill>
            <w14:solidFill>
              <w14:schemeClr w14:val="tx1"/>
            </w14:solidFill>
          </w14:textFill>
        </w:rPr>
        <w:t>Kết quả cần đạt:</w:t>
      </w:r>
    </w:p>
    <w:p w14:paraId="08B30E0F">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Mở rộng sự tham gia của các trường đại học, viện nghiên cứu và cơ sở đào tạo chất lượng cao vào hệ sinh thái ĐMST của tỉnh. </w:t>
      </w:r>
    </w:p>
    <w:p w14:paraId="582F10A4">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Hình thành mạng lưới đào tạo nguồn nhân lực phục vụ các ngành ưu tiên. </w:t>
      </w:r>
    </w:p>
    <w:p w14:paraId="209E5074">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Nâng cao chất lượng và khả năng đáp ứng nhu cầu nhân lực của doanh nghiệp. </w:t>
      </w:r>
    </w:p>
    <w:p w14:paraId="748122B1">
      <w:pPr>
        <w:pStyle w:val="5"/>
        <w:rPr>
          <w:color w:val="000000" w:themeColor="text1"/>
          <w14:textFill>
            <w14:solidFill>
              <w14:schemeClr w14:val="tx1"/>
            </w14:solidFill>
          </w14:textFill>
        </w:rPr>
      </w:pPr>
      <w:bookmarkStart w:id="96" w:name="_Toc233183685"/>
      <w:r>
        <w:rPr>
          <w:color w:val="000000" w:themeColor="text1"/>
          <w14:textFill>
            <w14:solidFill>
              <w14:schemeClr w14:val="tx1"/>
            </w14:solidFill>
          </w14:textFill>
        </w:rPr>
        <w:t>3.4.2. Giải pháp 19. Triển khai Chương trình thu hút chuyên gia, nhà khoa học và nhân tài ĐMST</w:t>
      </w:r>
      <w:bookmarkEnd w:id="96"/>
    </w:p>
    <w:p w14:paraId="191CD51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Xây dựng cơ chế thu hút chuyên gia, nhà khoa học, chuyên gia công nghệ và nhà quản trị có trình độ cao tham gia các hoạt động ĐMST của tỉnh, bao gồm:</w:t>
      </w:r>
    </w:p>
    <w:p w14:paraId="02289A4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chuyên gia đồng hành cùng doanh nghiệp; </w:t>
      </w:r>
    </w:p>
    <w:p w14:paraId="6AB30FA6">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chuyên gia tư vấn cho các trung tâm ĐMST; </w:t>
      </w:r>
    </w:p>
    <w:p w14:paraId="726C313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Chương trình kết nối chuyên gia người Ninh Bình trong và ngoài nước; </w:t>
      </w:r>
    </w:p>
    <w:p w14:paraId="3BA80622">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Mạng lưới cố vấn chiến lược cho các lĩnh vực ưu tiên. </w:t>
      </w:r>
    </w:p>
    <w:p w14:paraId="38001E65">
      <w:pPr>
        <w:pStyle w:val="55"/>
        <w:tabs>
          <w:tab w:val="left" w:pos="720"/>
          <w:tab w:val="left" w:pos="990"/>
        </w:tabs>
        <w:spacing w:before="120" w:line="312" w:lineRule="auto"/>
        <w:ind w:left="0"/>
        <w:rPr>
          <w:color w:val="000000" w:themeColor="text1"/>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ab/>
      </w:r>
      <w:r>
        <w:rPr>
          <w:color w:val="000000" w:themeColor="text1"/>
          <w:spacing w:val="-8"/>
          <w:sz w:val="26"/>
          <w:szCs w:val="26"/>
          <w:lang w:val="vi-VN"/>
          <w14:textFill>
            <w14:solidFill>
              <w14:schemeClr w14:val="tx1"/>
            </w14:solidFill>
          </w14:textFill>
        </w:rPr>
        <w:t xml:space="preserve">Khuyến khích các doanh nghiệp, trường đại học và trung tâm nghiên cứu tham gia đồng tài trợ, triển khai chương trình và sử dụng chuyên gia. </w:t>
      </w:r>
      <w:r>
        <w:rPr>
          <w:color w:val="000000" w:themeColor="text1"/>
          <w:sz w:val="26"/>
          <w:szCs w:val="26"/>
          <w:lang w:val="en-GB"/>
          <w14:textFill>
            <w14:solidFill>
              <w14:schemeClr w14:val="tx1"/>
            </w14:solidFill>
          </w14:textFill>
        </w:rPr>
        <w:t>Kết quả cần đạt:</w:t>
      </w:r>
    </w:p>
    <w:p w14:paraId="779ACC93">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Hình thành mạng lưới chuyên gia, cố vấn và đối tác ĐMST của tỉnh. </w:t>
      </w:r>
    </w:p>
    <w:p w14:paraId="08A712F9">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Tăng cường chất lượng tư vấn, hỗ trợ doanh nghiệp và startup. </w:t>
      </w:r>
    </w:p>
    <w:p w14:paraId="0C8F9FC5">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Thu hút nguồn lực tri thức trong nước và quốc tế tham gia phát triển hệ sinh thái. </w:t>
      </w:r>
    </w:p>
    <w:p w14:paraId="7CF0FCB7">
      <w:pPr>
        <w:pStyle w:val="5"/>
        <w:rPr>
          <w:color w:val="000000" w:themeColor="text1"/>
          <w14:textFill>
            <w14:solidFill>
              <w14:schemeClr w14:val="tx1"/>
            </w14:solidFill>
          </w14:textFill>
        </w:rPr>
      </w:pPr>
      <w:bookmarkStart w:id="97" w:name="_Toc233183686"/>
      <w:r>
        <w:rPr>
          <w:color w:val="000000" w:themeColor="text1"/>
          <w14:textFill>
            <w14:solidFill>
              <w14:schemeClr w14:val="tx1"/>
            </w14:solidFill>
          </w14:textFill>
        </w:rPr>
        <w:t>3.4.3. Giải pháp 20. Triển khai Chương trình đào tạo, bồi dưỡng năng lực ĐMST, chuyển đổi số và quản trị công nghệ</w:t>
      </w:r>
      <w:bookmarkEnd w:id="97"/>
    </w:p>
    <w:p w14:paraId="441BE281">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Xây dựng hệ thống chương trình đào tạo thường xuyên dành cho cán bộ quản lý nhà nước; lãnh đạo doanh nghiệp; doanh nghiệp KH&amp;CN; startup; hợp tác xã; giảng viên và cán bộ nghiên cứu. </w:t>
      </w:r>
    </w:p>
    <w:p w14:paraId="7CCD4999">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Kết hợp đào tạo trực tiếp, trực tuyến và đào tạo thông qua các chương trình thực hành, tham quan và học tập kinh nghiệm.</w:t>
      </w:r>
    </w:p>
    <w:p w14:paraId="6A8D7182">
      <w:pPr>
        <w:spacing w:before="120" w:line="312" w:lineRule="auto"/>
        <w:ind w:firstLine="720"/>
        <w:rPr>
          <w:color w:val="000000" w:themeColor="text1"/>
          <w:sz w:val="26"/>
          <w:szCs w:val="26"/>
          <w:lang w:val="en-GB"/>
          <w14:textFill>
            <w14:solidFill>
              <w14:schemeClr w14:val="tx1"/>
            </w14:solidFill>
          </w14:textFill>
        </w:rPr>
      </w:pPr>
      <w:r>
        <w:rPr>
          <w:color w:val="000000" w:themeColor="text1"/>
          <w:sz w:val="26"/>
          <w:szCs w:val="26"/>
          <w:lang w:val="en-GB"/>
          <w14:textFill>
            <w14:solidFill>
              <w14:schemeClr w14:val="tx1"/>
            </w14:solidFill>
          </w14:textFill>
        </w:rPr>
        <w:t>Kết quả cần đạt:</w:t>
      </w:r>
    </w:p>
    <w:p w14:paraId="4F487CE4">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Nâng cao năng lực ĐMST của doanh nghiệp và các chủ thể trong hệ sinh thái. </w:t>
      </w:r>
    </w:p>
    <w:p w14:paraId="2AEC098D">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Hình thành đội ngũ hạt nhân về ĐMST tại các sở, ngành, địa phương và doanh nghiệp. </w:t>
      </w:r>
    </w:p>
    <w:p w14:paraId="3C372E14">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Tăng khả năng hấp thụ và ứng dụng công nghệ mới của doanh nghiệp. </w:t>
      </w:r>
    </w:p>
    <w:p w14:paraId="2BEF9686">
      <w:pPr>
        <w:pStyle w:val="5"/>
        <w:rPr>
          <w:color w:val="000000" w:themeColor="text1"/>
          <w14:textFill>
            <w14:solidFill>
              <w14:schemeClr w14:val="tx1"/>
            </w14:solidFill>
          </w14:textFill>
        </w:rPr>
      </w:pPr>
      <w:bookmarkStart w:id="98" w:name="_Toc233183687"/>
      <w:r>
        <w:rPr>
          <w:color w:val="000000" w:themeColor="text1"/>
          <w14:textFill>
            <w14:solidFill>
              <w14:schemeClr w14:val="tx1"/>
            </w14:solidFill>
          </w14:textFill>
        </w:rPr>
        <w:t>3.4.4. Giải pháp 21. Triển khai Chương trình phát triển cộng đồng ĐMST mở và văn hóa đổi mới sáng tạo</w:t>
      </w:r>
      <w:bookmarkEnd w:id="98"/>
    </w:p>
    <w:p w14:paraId="216E63A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Xây dựng các hoạt động truyền thông, kết nối cộng đồng và lan tỏa văn hóa ĐMST trên phạm vi toàn tỉnh, bao gồm:</w:t>
      </w:r>
    </w:p>
    <w:p w14:paraId="22F2CB40">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Cuộc thi khởi nghiệp sáng tạo; </w:t>
      </w:r>
    </w:p>
    <w:p w14:paraId="576C2333">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 xml:space="preserve"> </w:t>
      </w:r>
      <w:r>
        <w:rPr>
          <w:color w:val="000000" w:themeColor="text1"/>
          <w:spacing w:val="-8"/>
          <w:sz w:val="26"/>
          <w:szCs w:val="26"/>
          <w:lang w:val="en-GB"/>
          <w14:textFill>
            <w14:solidFill>
              <w14:schemeClr w14:val="tx1"/>
            </w14:solidFill>
          </w14:textFill>
        </w:rPr>
        <w:t xml:space="preserve">Diễn đàn ĐMST; </w:t>
      </w:r>
    </w:p>
    <w:p w14:paraId="6A8F4A45">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Cộng đồng đổi mới sáng tạo trực tuyến; </w:t>
      </w:r>
    </w:p>
    <w:p w14:paraId="162124BE">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Chương trình thúc đẩy tinh thần khởi nghiệp trong trường học. </w:t>
      </w:r>
    </w:p>
    <w:p w14:paraId="108B412D">
      <w:pPr>
        <w:spacing w:before="120" w:line="312" w:lineRule="auto"/>
        <w:ind w:firstLine="720"/>
        <w:rPr>
          <w:color w:val="000000" w:themeColor="text1"/>
          <w:sz w:val="26"/>
          <w:szCs w:val="26"/>
          <w:lang w:val="en-GB"/>
          <w14:textFill>
            <w14:solidFill>
              <w14:schemeClr w14:val="tx1"/>
            </w14:solidFill>
          </w14:textFill>
        </w:rPr>
      </w:pPr>
      <w:r>
        <w:rPr>
          <w:color w:val="000000" w:themeColor="text1"/>
          <w:sz w:val="26"/>
          <w:szCs w:val="26"/>
          <w:lang w:val="en-GB"/>
          <w14:textFill>
            <w14:solidFill>
              <w14:schemeClr w14:val="tx1"/>
            </w14:solidFill>
          </w14:textFill>
        </w:rPr>
        <w:t>Khuyến khích hình thành các câu lạc bộ ĐMST tại trường học, doanh nghiệp, khu công nghiệp và cộng đồng thanh niên. Kết quả cần đạt</w:t>
      </w:r>
    </w:p>
    <w:p w14:paraId="49501F02">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Hình thành cộng đồng ĐMST mở trên địa bàn tỉnh. </w:t>
      </w:r>
    </w:p>
    <w:p w14:paraId="21C26A64">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Nâng cao nhận thức xã hội về ĐMST và khởi nghiệp. </w:t>
      </w:r>
    </w:p>
    <w:p w14:paraId="3A784FED">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Thúc đẩy tinh thần học tập suốt đời, sáng tạo và khởi nghiệp trong cộng đồng.</w:t>
      </w:r>
    </w:p>
    <w:p w14:paraId="349F0985">
      <w:pPr>
        <w:pStyle w:val="4"/>
        <w:rPr>
          <w:color w:val="000000" w:themeColor="text1"/>
          <w14:textFill>
            <w14:solidFill>
              <w14:schemeClr w14:val="tx1"/>
            </w14:solidFill>
          </w14:textFill>
        </w:rPr>
      </w:pPr>
      <w:bookmarkStart w:id="99" w:name="_Toc233183688"/>
      <w:r>
        <w:rPr>
          <w:color w:val="000000" w:themeColor="text1"/>
          <w14:textFill>
            <w14:solidFill>
              <w14:schemeClr w14:val="tx1"/>
            </w14:solidFill>
          </w14:textFill>
        </w:rPr>
        <w:t>3.5. Nhóm giải pháp nâng cao vị thế ĐMST của tỉnh Ninh Bình</w:t>
      </w:r>
      <w:bookmarkEnd w:id="99"/>
    </w:p>
    <w:p w14:paraId="543D05A9">
      <w:pPr>
        <w:pStyle w:val="5"/>
        <w:rPr>
          <w:color w:val="000000" w:themeColor="text1"/>
          <w14:textFill>
            <w14:solidFill>
              <w14:schemeClr w14:val="tx1"/>
            </w14:solidFill>
          </w14:textFill>
        </w:rPr>
      </w:pPr>
      <w:bookmarkStart w:id="100" w:name="_Toc233183689"/>
      <w:r>
        <w:rPr>
          <w:color w:val="000000" w:themeColor="text1"/>
          <w14:textFill>
            <w14:solidFill>
              <w14:schemeClr w14:val="tx1"/>
            </w14:solidFill>
          </w14:textFill>
        </w:rPr>
        <w:t>3.5.1. Giải pháp 22. Triển khai Chương trình nâng cao Chỉ số đổi mới sáng tạo cấp địa phương (PII)</w:t>
      </w:r>
      <w:bookmarkEnd w:id="100"/>
    </w:p>
    <w:p w14:paraId="440F162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Xây dựng hệ thống theo dõi và đánh giá các chỉ số thành phần của PII; định kỳ phân tích các điểm mạnh, điểm yếu và đề xuất giải pháp cải thiện. Ưu tiên cải thiện các nhóm chỉ số còn hạn chế của tỉnh, đặc biệt:</w:t>
      </w:r>
    </w:p>
    <w:p w14:paraId="11D10C38">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Vốn con người và nghiên cứu phát triển; </w:t>
      </w:r>
    </w:p>
    <w:p w14:paraId="1BCE691B">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Sản phẩm tri thức, công nghệ và sáng tạo; </w:t>
      </w:r>
    </w:p>
    <w:p w14:paraId="58A30374">
      <w:pPr>
        <w:pStyle w:val="55"/>
        <w:numPr>
          <w:ilvl w:val="0"/>
          <w:numId w:val="5"/>
        </w:numPr>
        <w:tabs>
          <w:tab w:val="left" w:pos="720"/>
          <w:tab w:val="left" w:pos="990"/>
        </w:tabs>
        <w:spacing w:before="120" w:line="312" w:lineRule="auto"/>
        <w:ind w:left="0" w:firstLine="567"/>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 xml:space="preserve"> Trình độ phát triển doanh nghiệp; </w:t>
      </w:r>
    </w:p>
    <w:p w14:paraId="00C86065">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vi-VN"/>
          <w14:textFill>
            <w14:solidFill>
              <w14:schemeClr w14:val="tx1"/>
            </w14:solidFill>
          </w14:textFill>
        </w:rPr>
        <w:t xml:space="preserve"> </w:t>
      </w:r>
      <w:r>
        <w:rPr>
          <w:color w:val="000000" w:themeColor="text1"/>
          <w:spacing w:val="-8"/>
          <w:sz w:val="26"/>
          <w:szCs w:val="26"/>
          <w:lang w:val="en-GB"/>
          <w14:textFill>
            <w14:solidFill>
              <w14:schemeClr w14:val="tx1"/>
            </w14:solidFill>
          </w14:textFill>
        </w:rPr>
        <w:t xml:space="preserve">Hạ tầng ĐMST. </w:t>
      </w:r>
    </w:p>
    <w:p w14:paraId="2226C1B5">
      <w:pPr>
        <w:spacing w:before="120" w:line="312" w:lineRule="auto"/>
        <w:ind w:firstLine="720"/>
        <w:rPr>
          <w:color w:val="000000" w:themeColor="text1"/>
          <w:sz w:val="26"/>
          <w:szCs w:val="26"/>
          <w:lang w:val="en-GB"/>
          <w14:textFill>
            <w14:solidFill>
              <w14:schemeClr w14:val="tx1"/>
            </w14:solidFill>
          </w14:textFill>
        </w:rPr>
      </w:pPr>
      <w:r>
        <w:rPr>
          <w:color w:val="000000" w:themeColor="text1"/>
          <w:sz w:val="26"/>
          <w:szCs w:val="26"/>
          <w:lang w:val="en-GB"/>
          <w14:textFill>
            <w14:solidFill>
              <w14:schemeClr w14:val="tx1"/>
            </w14:solidFill>
          </w14:textFill>
        </w:rPr>
        <w:t>Lồng ghép các mục tiêu PII vào kế hoạch phát triển của các sở, ngành và địa phương. Kết quả cần đạt</w:t>
      </w:r>
    </w:p>
    <w:p w14:paraId="43E20D61">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Chỉ số PII của tỉnh nằm trong nhóm 10 địa phương dẫn đầu cả nước vào năm 2030. </w:t>
      </w:r>
    </w:p>
    <w:p w14:paraId="5228124C">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Nâng cao chất lượng và hiệu quả hoạt động của hệ sinh thái ĐMST. </w:t>
      </w:r>
    </w:p>
    <w:p w14:paraId="6652DDDA">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Hình thành cơ chế quản trị hệ sinh thái dựa trên dữ liệu và kết quả. </w:t>
      </w:r>
    </w:p>
    <w:p w14:paraId="1415D1C9">
      <w:pPr>
        <w:pStyle w:val="5"/>
        <w:rPr>
          <w:color w:val="000000" w:themeColor="text1"/>
          <w14:textFill>
            <w14:solidFill>
              <w14:schemeClr w14:val="tx1"/>
            </w14:solidFill>
          </w14:textFill>
        </w:rPr>
      </w:pPr>
      <w:bookmarkStart w:id="101" w:name="_Toc233183690"/>
      <w:r>
        <w:rPr>
          <w:color w:val="000000" w:themeColor="text1"/>
          <w14:textFill>
            <w14:solidFill>
              <w14:schemeClr w14:val="tx1"/>
            </w14:solidFill>
          </w14:textFill>
        </w:rPr>
        <w:t>3.5.2. Giải pháp 23. Triển khai Chương trình thúc đẩy chuyển đổi số, ĐMST trong khu vực công và cải cách hành chính</w:t>
      </w:r>
      <w:bookmarkEnd w:id="101"/>
    </w:p>
    <w:p w14:paraId="241DBA7A">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Đẩy mạnh ứng dụng khoa học, công nghệ, dữ liệu số và trí tuệ nhân tạo trong hoạt động quản lý nhà nước.</w:t>
      </w:r>
    </w:p>
    <w:p w14:paraId="2387A57A">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Đồng thời tiếp tục cải cách thủ tục hành chính theo hướng minh bạch, thuận tiện và lấy người dân, doanh nghiệp làm trung tâm.</w:t>
      </w:r>
    </w:p>
    <w:p w14:paraId="25E3F3EB">
      <w:pPr>
        <w:spacing w:before="120" w:line="312" w:lineRule="auto"/>
        <w:ind w:firstLine="720"/>
        <w:rPr>
          <w:color w:val="000000" w:themeColor="text1"/>
          <w:sz w:val="26"/>
          <w:szCs w:val="26"/>
          <w:lang w:val="en-GB"/>
          <w14:textFill>
            <w14:solidFill>
              <w14:schemeClr w14:val="tx1"/>
            </w14:solidFill>
          </w14:textFill>
        </w:rPr>
      </w:pPr>
      <w:r>
        <w:rPr>
          <w:color w:val="000000" w:themeColor="text1"/>
          <w:sz w:val="26"/>
          <w:szCs w:val="26"/>
          <w:lang w:val="en-GB"/>
          <w14:textFill>
            <w14:solidFill>
              <w14:schemeClr w14:val="tx1"/>
            </w14:solidFill>
          </w14:textFill>
        </w:rPr>
        <w:t>Kết quả cần đạt:</w:t>
      </w:r>
    </w:p>
    <w:p w14:paraId="3511337F">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Duy trì nhóm địa phương dẫn đầu về cải cách hành chính và chuyển đổi số. </w:t>
      </w:r>
    </w:p>
    <w:p w14:paraId="6FF160A8">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Nâng cao hiệu quả quản trị và điều hành của chính quyền. </w:t>
      </w:r>
    </w:p>
    <w:p w14:paraId="1A15FEDA">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Cải thiện môi trường đầu tư và môi trường ĐMST của tỉnh. </w:t>
      </w:r>
    </w:p>
    <w:p w14:paraId="58DEA15F">
      <w:pPr>
        <w:pStyle w:val="5"/>
        <w:rPr>
          <w:color w:val="000000" w:themeColor="text1"/>
          <w14:textFill>
            <w14:solidFill>
              <w14:schemeClr w14:val="tx1"/>
            </w14:solidFill>
          </w14:textFill>
        </w:rPr>
      </w:pPr>
      <w:bookmarkStart w:id="102" w:name="_Toc233183691"/>
      <w:r>
        <w:rPr>
          <w:color w:val="000000" w:themeColor="text1"/>
          <w14:textFill>
            <w14:solidFill>
              <w14:schemeClr w14:val="tx1"/>
            </w14:solidFill>
          </w14:textFill>
        </w:rPr>
        <w:t>3.5.3. Giải pháp 24. Triển khai Chương trình phát triển kinh tế số, nâng cao năng suất và năng lực cạnh tranh của nền kinh tế</w:t>
      </w:r>
      <w:bookmarkEnd w:id="102"/>
    </w:p>
    <w:p w14:paraId="6FE1B1D8">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Thúc đẩy ứng dụng khoa học, công nghệ, ĐMST và chuyển đổi số trong các ngành kinh tế trọng điểm của tỉnh.</w:t>
      </w:r>
    </w:p>
    <w:p w14:paraId="4070A0BB">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Khuyến khích doanh nghiệp đầu tư cho nghiên cứu phát triển, đổi mới công nghệ và nâng cao năng suất lao động.</w:t>
      </w:r>
    </w:p>
    <w:p w14:paraId="3BD30A1D">
      <w:pPr>
        <w:spacing w:before="120" w:line="312" w:lineRule="auto"/>
        <w:ind w:firstLine="720"/>
        <w:rPr>
          <w:color w:val="000000" w:themeColor="text1"/>
          <w:sz w:val="26"/>
          <w:szCs w:val="26"/>
          <w:lang w:val="en-GB"/>
          <w14:textFill>
            <w14:solidFill>
              <w14:schemeClr w14:val="tx1"/>
            </w14:solidFill>
          </w14:textFill>
        </w:rPr>
      </w:pPr>
      <w:r>
        <w:rPr>
          <w:color w:val="000000" w:themeColor="text1"/>
          <w:sz w:val="26"/>
          <w:szCs w:val="26"/>
          <w:lang w:val="en-GB"/>
          <w14:textFill>
            <w14:solidFill>
              <w14:schemeClr w14:val="tx1"/>
            </w14:solidFill>
          </w14:textFill>
        </w:rPr>
        <w:t>Kết quả cần đạt:</w:t>
      </w:r>
    </w:p>
    <w:p w14:paraId="2A37CEC2">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Tỷ trọng đóng góp của TFP vào tăng trưởng GRDP đạt trên 57%. </w:t>
      </w:r>
    </w:p>
    <w:p w14:paraId="3A03A23F">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Gia tăng đóng góp của kinh tế số vào GRDP. </w:t>
      </w:r>
    </w:p>
    <w:p w14:paraId="38742673">
      <w:pPr>
        <w:pStyle w:val="55"/>
        <w:numPr>
          <w:ilvl w:val="0"/>
          <w:numId w:val="5"/>
        </w:numPr>
        <w:tabs>
          <w:tab w:val="left" w:pos="720"/>
          <w:tab w:val="left" w:pos="990"/>
        </w:tabs>
        <w:spacing w:before="120" w:line="312" w:lineRule="auto"/>
        <w:ind w:left="0" w:firstLine="567"/>
        <w:rPr>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 xml:space="preserve"> Khoa học, công nghệ, ĐMST và kinh tế số trở thành động lực quan trọng thúc đẩy tăng trưởng kinh tế của tỉnh.</w:t>
      </w:r>
    </w:p>
    <w:p w14:paraId="5AF3E244">
      <w:pPr>
        <w:pStyle w:val="3"/>
        <w:rPr>
          <w:color w:val="000000" w:themeColor="text1"/>
          <w14:textFill>
            <w14:solidFill>
              <w14:schemeClr w14:val="tx1"/>
            </w14:solidFill>
          </w14:textFill>
        </w:rPr>
      </w:pPr>
      <w:bookmarkStart w:id="103" w:name="_Toc233183692"/>
      <w:r>
        <w:rPr>
          <w:color w:val="000000" w:themeColor="text1"/>
          <w14:textFill>
            <w14:solidFill>
              <w14:schemeClr w14:val="tx1"/>
            </w14:solidFill>
          </w14:textFill>
        </w:rPr>
        <w:t xml:space="preserve">IV. ĐỊNH HƯỚNG THIẾT KẾ MÔ HÌNH TỔ CHỨC TRUNG TÂM </w:t>
      </w:r>
      <w:r>
        <w:rPr>
          <w:color w:val="000000" w:themeColor="text1"/>
          <w:lang w:val="en-GB"/>
          <w14:textFill>
            <w14:solidFill>
              <w14:schemeClr w14:val="tx1"/>
            </w14:solidFill>
          </w14:textFill>
        </w:rPr>
        <w:t>ĐMST</w:t>
      </w:r>
      <w:r>
        <w:rPr>
          <w:color w:val="000000" w:themeColor="text1"/>
          <w14:textFill>
            <w14:solidFill>
              <w14:schemeClr w14:val="tx1"/>
            </w14:solidFill>
          </w14:textFill>
        </w:rPr>
        <w:t xml:space="preserve"> TỈNH NINH BÌNH</w:t>
      </w:r>
      <w:bookmarkEnd w:id="103"/>
    </w:p>
    <w:p w14:paraId="593C3866">
      <w:pPr>
        <w:pStyle w:val="4"/>
        <w:rPr>
          <w:color w:val="000000" w:themeColor="text1"/>
          <w14:textFill>
            <w14:solidFill>
              <w14:schemeClr w14:val="tx1"/>
            </w14:solidFill>
          </w14:textFill>
        </w:rPr>
      </w:pPr>
      <w:bookmarkStart w:id="104" w:name="_Toc233183693"/>
      <w:r>
        <w:rPr>
          <w:color w:val="000000" w:themeColor="text1"/>
          <w14:textFill>
            <w14:solidFill>
              <w14:schemeClr w14:val="tx1"/>
            </w14:solidFill>
          </w14:textFill>
        </w:rPr>
        <w:t>4.1. Nguyên tắc thiết kế mô hình</w:t>
      </w:r>
      <w:bookmarkEnd w:id="104"/>
    </w:p>
    <w:p w14:paraId="764C77E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Mô hình Trung tâm ĐMST tỉnh Ninh Bình được định vị là một thiết chế trung tâm mang tính tích hợp, có vai trò kết nối, điều phối và dẫn dắt toàn bộ hệ sinh thái ĐMST của tỉnh. Cụ thể, Trung tâm thực hiện ba chức năng xuyên suốt: </w:t>
      </w:r>
    </w:p>
    <w:p w14:paraId="6EA07A09">
      <w:pPr>
        <w:pStyle w:val="55"/>
        <w:numPr>
          <w:ilvl w:val="0"/>
          <w:numId w:val="5"/>
        </w:numPr>
        <w:tabs>
          <w:tab w:val="left" w:pos="720"/>
          <w:tab w:val="left" w:pos="990"/>
        </w:tabs>
        <w:spacing w:before="120" w:line="312" w:lineRule="auto"/>
        <w:ind w:left="0"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Kết nối các chủ thể trong hệ sinh thái, bao gồm cơ quan quản lý nhà nước, doanh nghiệp, cơ sở đào tạo và nghiên cứu, nhà đầu tư và cộng đồng ĐMST. </w:t>
      </w:r>
    </w:p>
    <w:p w14:paraId="1D76900D">
      <w:pPr>
        <w:pStyle w:val="55"/>
        <w:numPr>
          <w:ilvl w:val="0"/>
          <w:numId w:val="5"/>
        </w:numPr>
        <w:tabs>
          <w:tab w:val="left" w:pos="720"/>
          <w:tab w:val="left" w:pos="990"/>
        </w:tabs>
        <w:spacing w:before="120" w:line="312" w:lineRule="auto"/>
        <w:ind w:left="0"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Điều phối các hoạt động ĐMST trên phạm vi toàn tỉnh thông qua việc thiết kế và triển khai các chương trình, cơ chế hợp tác và phân bổ nguồn lực. </w:t>
      </w:r>
    </w:p>
    <w:p w14:paraId="68810209">
      <w:pPr>
        <w:pStyle w:val="55"/>
        <w:numPr>
          <w:ilvl w:val="0"/>
          <w:numId w:val="5"/>
        </w:numPr>
        <w:tabs>
          <w:tab w:val="left" w:pos="720"/>
          <w:tab w:val="left" w:pos="990"/>
        </w:tabs>
        <w:spacing w:before="120" w:line="312" w:lineRule="auto"/>
        <w:ind w:left="0"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Dẫn dắt quá trình chuyển hóa tri thức, công nghệ và ý tưởng thành các sản phẩm, dịch vụ và mô hình kinh doanh có giá trị kinh tế, qua đó hình thành các động lực tăng trưởng mới.</w:t>
      </w:r>
    </w:p>
    <w:p w14:paraId="3837FFC4">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Thực tiễn triển khai tại các địa phương cho thấy Trung tâm ĐMST cấp tỉnh thường được giao đồng thời nhiều chức năng như hỗ trợ khởi nghiệp, kết nối hệ sinh thái, nghiên cứu ứng dụng, cung cấp dịch vụ và vận hành hạ tầng ĐMST. Tuy nhiên, hạn chế phổ biến là các chức năng này thường được triển khai theo từng hợp phần riêng lẻ, thiếu sự liên kết theo chuỗi giá trị, dẫn đến hiệu quả tổng thể chưa cao và chưa tạo ra được tác động mang tính hệ thống. Trên cơ sở đó, mô hình Trung tâm ĐMST tỉnh Ninh Bình được thiết kế theo ba nguyên tắc cốt lõi.</w:t>
      </w:r>
    </w:p>
    <w:p w14:paraId="575BDCA4">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nhất,</w:t>
      </w:r>
      <w:r>
        <w:rPr>
          <w:color w:val="000000" w:themeColor="text1"/>
          <w:sz w:val="26"/>
          <w:szCs w:val="26"/>
          <w:lang w:val="vi-VN"/>
          <w14:textFill>
            <w14:solidFill>
              <w14:schemeClr w14:val="tx1"/>
            </w14:solidFill>
          </w14:textFill>
        </w:rPr>
        <w:t xml:space="preserve"> tích hợp chức năng thay vì phân mảnh. Các chức năng hỗ trợ ĐMST không được tổ chức theo các hoạt động rời rạc, mà được tích hợp trong một cấu trúc vận hành thống nhất, gắn kết chặt chẽ theo chuỗi giá trị từ nghiên cứu, phát triển công nghệ đến ứng dụng và thương mại hóa. Trung tâm đóng vai trò là đầu mối điều phối, bảo đảm sự liên thông giữa các khâu, hạn chế tình trạng đứt gãy giữa nghiên cứu và thị trường.</w:t>
      </w:r>
    </w:p>
    <w:p w14:paraId="7A2C62A1">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hai,</w:t>
      </w:r>
      <w:r>
        <w:rPr>
          <w:color w:val="000000" w:themeColor="text1"/>
          <w:sz w:val="26"/>
          <w:szCs w:val="26"/>
          <w:lang w:val="vi-VN"/>
          <w14:textFill>
            <w14:solidFill>
              <w14:schemeClr w14:val="tx1"/>
            </w14:solidFill>
          </w14:textFill>
        </w:rPr>
        <w:t xml:space="preserve"> gắn với không gian phát triển thực thay vì chỉ hỗ trợ gián tiếp. Trung tâm không chỉ cung cấp các dịch vụ tư vấn hay hỗ trợ về mặt kỹ thuật, mà được thiết kế gắn trực tiếp với các không gian phát triển cụ thể của tỉnh, nơi các giải pháp công nghệ có thể được triển khai, thử nghiệm và hoàn thiện trong điều kiện thực tế. Cách tiếp cận này cho phép rút ngắn khoảng cách giữa ý tưởng và ứng dụng, đồng thời nâng cao khả năng thương mại hóa các kết quả ĐMST.</w:t>
      </w:r>
    </w:p>
    <w:p w14:paraId="13D0BFA4">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ba,</w:t>
      </w:r>
      <w:r>
        <w:rPr>
          <w:color w:val="000000" w:themeColor="text1"/>
          <w:sz w:val="26"/>
          <w:szCs w:val="26"/>
          <w:lang w:val="vi-VN"/>
          <w14:textFill>
            <w14:solidFill>
              <w14:schemeClr w14:val="tx1"/>
            </w14:solidFill>
          </w14:textFill>
        </w:rPr>
        <w:t xml:space="preserve"> gắn với lĩnh vực công nghệ mũi nhọn để tạo đột phá. Thay vì dàn trải nguồn lực, mô hình được định hướng tập trung vào các lĩnh vực công nghệ có tiềm năng tạo ra giá trị gia tăng cao và có khả năng dẫn dắt toàn bộ hệ sinh thái. Việc lựa chọn và tập trung vào các lĩnh vực này không chỉ giúp hình thành năng lực cạnh tranh cốt lõi cho địa phương, mà còn tạo hiệu ứng lan tỏa sang các ngành kinh tế khác.</w:t>
      </w:r>
    </w:p>
    <w:p w14:paraId="4A54A18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Ba nguyên tắc nêu trên tạo thành nền tảng thiết kế cho mô hình Trung tâm ĐMST tỉnh Ninh Bình, bảo đảm Trung tâm không chỉ là một đơn vị hỗ trợ, mà thực sự trở thành thiết chế trung tâm có khả năng tổ chức, điều phối và dẫn dắt quá trình phát triển hệ sinh thái ĐMST theo hướng hiệu quả, thực chất và bền vững.</w:t>
      </w:r>
    </w:p>
    <w:p w14:paraId="2BC4FB81">
      <w:pPr>
        <w:pStyle w:val="4"/>
        <w:rPr>
          <w:color w:val="000000" w:themeColor="text1"/>
          <w14:textFill>
            <w14:solidFill>
              <w14:schemeClr w14:val="tx1"/>
            </w14:solidFill>
          </w14:textFill>
        </w:rPr>
      </w:pPr>
      <w:bookmarkStart w:id="105" w:name="_Toc233183694"/>
      <w:r>
        <w:rPr>
          <w:color w:val="000000" w:themeColor="text1"/>
          <w14:textFill>
            <w14:solidFill>
              <w14:schemeClr w14:val="tx1"/>
            </w14:solidFill>
          </w14:textFill>
        </w:rPr>
        <w:t>4.2. Cấu trúc chức năng lõi của Trung tâm</w:t>
      </w:r>
      <w:bookmarkEnd w:id="105"/>
    </w:p>
    <w:p w14:paraId="3EF1405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ĐMST tỉnh Ninh Bình được tổ chức theo 5 nhóm chức năng chính, vận hành như một hệ thống khép kín:</w:t>
      </w:r>
    </w:p>
    <w:p w14:paraId="483DC6C2">
      <w:pPr>
        <w:pStyle w:val="5"/>
        <w:rPr>
          <w:color w:val="000000" w:themeColor="text1"/>
          <w14:textFill>
            <w14:solidFill>
              <w14:schemeClr w14:val="tx1"/>
            </w14:solidFill>
          </w14:textFill>
        </w:rPr>
      </w:pPr>
      <w:bookmarkStart w:id="106" w:name="_Toc233183695"/>
      <w:r>
        <w:rPr>
          <w:color w:val="000000" w:themeColor="text1"/>
          <w14:textFill>
            <w14:solidFill>
              <w14:schemeClr w14:val="tx1"/>
            </w14:solidFill>
          </w14:textFill>
        </w:rPr>
        <w:t>4.2.1. Chức năng kết nối và điều phối hệ sinh thái</w:t>
      </w:r>
      <w:bookmarkEnd w:id="106"/>
    </w:p>
    <w:p w14:paraId="04FEDE1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ĐMST tỉnh Ninh Bình được xác định là đầu mối kết nối toàn bộ các thành phần của hệ sinh thái, bao gồm cơ quan quản lý nhà nước, doanh nghiệp – đặc biệt là khu vực doanh nghiệp có vốn đầu tư nước ngoài trong các lĩnh vực công nghệ cao, các trường đại học và viện nghiên cứu, các nhà đầu tư, cũng như cộng đồng khởi nghiệp và ĐMST trên địa bàn.</w:t>
      </w:r>
    </w:p>
    <w:p w14:paraId="4099E0A2">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Khác với cách tiếp cận truyền thống chủ yếu dừng lại ở việc tổ chức các sự kiện kết nối, Trung tâm thực hiện vai trò kết nối theo hướng chủ động và có cấu trúc. Cụ thể, Trung tâm trực tiếp thiết kế và vận hành các chương trình liên kết giữa các chủ thể trong hệ sinh thái, xây dựng và phát triển mạng lưới đối tác trong nước và quốc tế, đồng thời điều phối các nguồn lực theo các chương trình ưu tiên gắn với định hướng phát triển của tỉnh.</w:t>
      </w:r>
    </w:p>
    <w:p w14:paraId="6A4B720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Vai trò này kế thừa chức năng tập hợp và kết nối nguồn lực đã được triển khai tại các trung tâm ĐMST lớn, nhưng được nâng cấp theo hướng điều phối chủ động, nhằm bảo đảm các nguồn lực không chỉ được kết nối mà còn được tổ chức và vận hành hiệu quả trong một cấu trúc thống nhất.</w:t>
      </w:r>
    </w:p>
    <w:p w14:paraId="6B617151">
      <w:pPr>
        <w:pStyle w:val="5"/>
        <w:rPr>
          <w:color w:val="000000" w:themeColor="text1"/>
          <w14:textFill>
            <w14:solidFill>
              <w14:schemeClr w14:val="tx1"/>
            </w14:solidFill>
          </w14:textFill>
        </w:rPr>
      </w:pPr>
      <w:bookmarkStart w:id="107" w:name="_Toc233183696"/>
      <w:r>
        <w:rPr>
          <w:color w:val="000000" w:themeColor="text1"/>
          <w14:textFill>
            <w14:solidFill>
              <w14:schemeClr w14:val="tx1"/>
            </w14:solidFill>
          </w14:textFill>
        </w:rPr>
        <w:t>4.2.2. Chức năng phát triển và vận hành hệ sinh thái</w:t>
      </w:r>
      <w:bookmarkEnd w:id="107"/>
    </w:p>
    <w:p w14:paraId="1445324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ĐMST tỉnh Ninh Bình giữ vai trò chủ động trong việc tổ chức và triển khai các hoạt động thúc đẩy hệ sinh thái, không chỉ dừng ở kết nối mà trực tiếp tham gia vào quá trình hình thành và phát triển các dự án ĐMST. Trên cơ sở đó, Trung tâm tổ chức các chương trình ươm tạo và tăng tốc doanh nghiệp, triển khai các hoạt động kết nối cung – cầu công nghệ, đồng thời xây dựng và vận hành các nền tảng phục vụ cho hoạt động của toàn hệ sinh thái.</w:t>
      </w:r>
    </w:p>
    <w:p w14:paraId="3DA69F64">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Theo kinh nghiệm từ các địa phương, chức năng này thường bao gồm việc tìm kiếm và tuyển chọn các dự án tiềm năng, hỗ trợ phát triển sản phẩm và hoàn thiện mô hình kinh doanh, cũng như tạo điều kiện để các dự án tiếp cận thị trường và nguồn vốn. Tuy nhiên, đối với Ninh Bình, cách tiếp cận được thiết kế theo hướng thực chất hơn, gắn trực tiếp với các ngành kinh tế trụ cột của tỉnh và ưu tiên giải quyết các bài toán cụ thể phát sinh từ doanh nghiệp và địa phương.</w:t>
      </w:r>
    </w:p>
    <w:p w14:paraId="3C3D91C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Cách tiếp cận này nhằm bảo đảm rằng các hoạt động phát triển hệ sinh thái không mang tính phong trào, mà tạo ra các kết quả có khả năng ứng dụng cao, góp phần nâng cao năng lực sản xuất, chất lượng sản phẩm và giá trị gia tăng của nền kinh tế địa phương.</w:t>
      </w:r>
    </w:p>
    <w:p w14:paraId="210D4519">
      <w:pPr>
        <w:pStyle w:val="5"/>
        <w:rPr>
          <w:color w:val="000000" w:themeColor="text1"/>
          <w14:textFill>
            <w14:solidFill>
              <w14:schemeClr w14:val="tx1"/>
            </w14:solidFill>
          </w14:textFill>
        </w:rPr>
      </w:pPr>
      <w:bookmarkStart w:id="108" w:name="_Toc233183697"/>
      <w:r>
        <w:rPr>
          <w:color w:val="000000" w:themeColor="text1"/>
          <w14:textFill>
            <w14:solidFill>
              <w14:schemeClr w14:val="tx1"/>
            </w14:solidFill>
          </w14:textFill>
        </w:rPr>
        <w:t>4.2.3. Chức năng nghiên cứu, ứng dụng và chuyển giao công nghệ</w:t>
      </w:r>
      <w:bookmarkEnd w:id="108"/>
    </w:p>
    <w:p w14:paraId="15209B76">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ĐMST tỉnh Ninh Bình không chỉ dừng lại ở vai trò hỗ trợ khởi nghiệp, mà tham gia trực tiếp vào quá trình nghiên cứu ứng dụng, thử nghiệm và chuyển giao công nghệ. Đây là chức năng mang tính cốt lõi, nhằm rút ngắn khoảng cách giữa nghiên cứu và sản xuất, giữa công nghệ và thị trường.</w:t>
      </w:r>
    </w:p>
    <w:p w14:paraId="1EF8CD5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Tham chiếu từ các mô hình triển khai tại một số địa phương như Đà Nẵng và Quảng Ninh cho thấy Trung tâm ĐMST cấp tỉnh cần đảm nhiệm các hoạt động trọng tâm như tổ chức thử nghiệm công nghệ trong môi trường có kiểm soát, xây dựng các mô hình trình diễn để kiểm chứng hiệu quả ứng dụng, đồng thời thúc đẩy quá trình chuyển giao và nhân rộng công nghệ trong thực tiễn.</w:t>
      </w:r>
    </w:p>
    <w:p w14:paraId="49EB5E46">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Trên cơ sở đó, tại Ninh Bình, chức năng này được định hướng theo hướng gắn chặt với các không gian phát triển thực của tỉnh, bao gồm đô thị, du lịch và sản xuất, qua đó tạo điều kiện để công nghệ được kiểm chứng và hoàn thiện trong môi trường vận hành thực tế. Đồng thời, hoạt động nghiên cứu và thử nghiệm được liên kết với hệ thống phòng thí nghiệm và hạ tầng kỹ thuật chuyên sâu, bảo đảm năng lực phát triển công nghệ có chiều sâu. Bên cạnh đó, Trung tâm tập trung vào các lĩnh vực công nghệ có khả năng tạo ra giá trị gia tăng cao, qua đó góp phần hình thành năng lực công nghệ cốt lõi và thúc đẩy phát triển các ngành kinh tế mũi nhọn của tỉnh.</w:t>
      </w:r>
    </w:p>
    <w:p w14:paraId="658C7613">
      <w:pPr>
        <w:pStyle w:val="5"/>
        <w:rPr>
          <w:color w:val="000000" w:themeColor="text1"/>
          <w14:textFill>
            <w14:solidFill>
              <w14:schemeClr w14:val="tx1"/>
            </w14:solidFill>
          </w14:textFill>
        </w:rPr>
      </w:pPr>
      <w:bookmarkStart w:id="109" w:name="_Toc233183698"/>
      <w:r>
        <w:rPr>
          <w:color w:val="000000" w:themeColor="text1"/>
          <w14:textFill>
            <w14:solidFill>
              <w14:schemeClr w14:val="tx1"/>
            </w14:solidFill>
          </w14:textFill>
        </w:rPr>
        <w:t>4.2.4. Chức năng cung cấp dịch vụ hỗ trợ ĐMST</w:t>
      </w:r>
      <w:bookmarkEnd w:id="109"/>
    </w:p>
    <w:p w14:paraId="589A9E27">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ĐMST tỉnh Ninh Bình cung cấp hệ thống dịch vụ hỗ trợ toàn diện cho các chủ thể trong hệ sinh thái, bao gồm doanh nghiệp, tổ chức nghiên cứu, nhóm khởi nghiệp và cá nhân có ý tưởng ĐMST. Các dịch vụ được thiết kế nhằm hỗ trợ xuyên suốt quá trình phát triển, từ hình thành ý tưởng, hoàn thiện công nghệ đến thương mại hóa sản phẩm và mở rộng thị trường.</w:t>
      </w:r>
    </w:p>
    <w:p w14:paraId="3EB2238C">
      <w:pPr>
        <w:spacing w:before="120" w:line="312"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Trên cơ sở đó, Trung tâm triển khai các dịch vụ ươm tạo và tăng tốc doanh nghiệp, tư vấn về công nghệ và mô hình kinh doanh, hỗ trợ pháp lý và sở hữu trí tuệ, cũng như hỗ trợ quá trình thương mại hóa sản phẩm. Thực tiễn tại các mô hình hiện có cho thấy các Trung tâm ĐMST thường cung cấp các điều kiện cơ bản như không gian làm việc, dịch vụ tư vấn và hỗ trợ kết nối tài chính, đầu tư. Tuy nhiên, cách tiếp cận này phần lớn vẫn mang tính phân tán và chưa hình thành được chuỗi dịch vụ liên kết chặt chẽ.</w:t>
      </w:r>
    </w:p>
    <w:p w14:paraId="530A827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Đối với Ninh Bình, hệ thống dịch vụ được định hướng theo hướng tích hợp theo chuỗi giá trị từ ý tưởng đến thị trường, bảo đảm các hoạt động hỗ trợ không tách rời mà được thiết kế gắn kết với các chương trình cụ thể của Trung tâm. Đồng thời, các dịch vụ được phát triển theo hướng từng bước thương mại hóa, tạo nguồn thu và tiến tới tự chủ tài chính một phần, qua đó nâng cao tính bền vững và hiệu quả vận hành của Trung tâm trong dài hạn.</w:t>
      </w:r>
    </w:p>
    <w:p w14:paraId="553C939B">
      <w:pPr>
        <w:pStyle w:val="5"/>
        <w:rPr>
          <w:color w:val="000000" w:themeColor="text1"/>
          <w14:textFill>
            <w14:solidFill>
              <w14:schemeClr w14:val="tx1"/>
            </w14:solidFill>
          </w14:textFill>
        </w:rPr>
      </w:pPr>
      <w:bookmarkStart w:id="110" w:name="_Toc233183699"/>
      <w:r>
        <w:rPr>
          <w:color w:val="000000" w:themeColor="text1"/>
          <w14:textFill>
            <w14:solidFill>
              <w14:schemeClr w14:val="tx1"/>
            </w14:solidFill>
          </w14:textFill>
        </w:rPr>
        <w:t>4.2.5. Chức năng dữ liệu, thông tin và đo lường hệ sinh thái</w:t>
      </w:r>
      <w:bookmarkEnd w:id="110"/>
    </w:p>
    <w:p w14:paraId="0FF782D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Một trong những chức năng quan trọng nhưng thường chưa được chú trọng đúng mức trong các mô hình Trung tâm ĐMST là việc thu thập, phân tích và quản trị dữ liệu của hệ sinh thái. Trong thực tiễn triển khai, Trung tâm thường được giao nhiệm vụ xây dựng cơ sở dữ liệu về các chủ thể và hoạt động ĐMST, theo dõi và đo lường hiệu quả của hệ sinh thái, đồng thời cung cấp thông tin phục vụ công tác quản lý nhà nước và hoạch định chính sách.</w:t>
      </w:r>
    </w:p>
    <w:p w14:paraId="2564452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Tuy nhiên, các hoạt động này ở nhiều địa phương vẫn mang tính phân tán, thiếu một nền tảng dữ liệu tích hợp và chưa phát huy đầy đủ vai trò hỗ trợ điều hành hệ sinh thái. Trên cơ sở đó, tại Ninh Bình, chức năng dữ liệu được định hướng nâng cấp theo hướng xây dựng một nền tảng dữ liệu hệ sinh thái ĐMST cấp tỉnh, cho phép tập hợp, chuẩn hóa và cập nhật thông tin về doanh nghiệp, dự án, nguồn lực và các hoạt động ĐMST. Trên nền tảng này, Trung tâm phát triển các công cụ theo dõi và đánh giá hiệu quả hệ sinh thái, phục vụ việc đo lường kết quả triển khai các chương trình và chính sách. Đồng thời, dữ liệu được sử dụng như một cơ sở quan trọng để thiết kế chính sách, điều phối nguồn lực và đưa ra các quyết định quản lý theo hướng dựa trên bằng chứng, qua đó nâng cao hiệu quả vận hành tổng thể của hệ sinh thái ĐMST của tỉnh.</w:t>
      </w:r>
    </w:p>
    <w:p w14:paraId="12BDE673">
      <w:pPr>
        <w:pStyle w:val="4"/>
        <w:rPr>
          <w:color w:val="000000" w:themeColor="text1"/>
          <w14:textFill>
            <w14:solidFill>
              <w14:schemeClr w14:val="tx1"/>
            </w14:solidFill>
          </w14:textFill>
        </w:rPr>
      </w:pPr>
      <w:bookmarkStart w:id="111" w:name="_Toc233183700"/>
      <w:r>
        <w:rPr>
          <w:color w:val="000000" w:themeColor="text1"/>
          <w14:textFill>
            <w14:solidFill>
              <w14:schemeClr w14:val="tx1"/>
            </w14:solidFill>
          </w14:textFill>
        </w:rPr>
        <w:t>4.3. Mô hình tổ chức và vận hành</w:t>
      </w:r>
      <w:bookmarkEnd w:id="111"/>
    </w:p>
    <w:p w14:paraId="1A3E983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Trên cơ sở tham khảo kinh nghiệm triển khai tại các địa phương, hiện nay Trung tâm ĐMST cấp tỉnh thường được tổ chức theo ba mô hình chủ yếu.</w:t>
      </w:r>
    </w:p>
    <w:p w14:paraId="6E62C9BA">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nhất</w:t>
      </w:r>
      <w:r>
        <w:rPr>
          <w:color w:val="000000" w:themeColor="text1"/>
          <w:sz w:val="26"/>
          <w:szCs w:val="26"/>
          <w:lang w:val="vi-VN"/>
          <w14:textFill>
            <w14:solidFill>
              <w14:schemeClr w14:val="tx1"/>
            </w14:solidFill>
          </w14:textFill>
        </w:rPr>
        <w:t xml:space="preserve"> là mô hình doanh nghiệp có vốn nhà nước chi phối, trong đó Trung tâm được vận hành theo cơ chế doanh nghiệp, có tính linh hoạt cao, dễ huy động nguồn lực xã hội và triển khai các hoạt động theo cơ chế thị trường. Tuy nhiên, mô hình này đòi hỏi năng lực quản trị cao và cơ chế giám sát phù hợp để bảo đảm định hướng công.</w:t>
      </w:r>
    </w:p>
    <w:p w14:paraId="5EE1CA8C">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hai</w:t>
      </w:r>
      <w:r>
        <w:rPr>
          <w:color w:val="000000" w:themeColor="text1"/>
          <w:sz w:val="26"/>
          <w:szCs w:val="26"/>
          <w:lang w:val="vi-VN"/>
          <w14:textFill>
            <w14:solidFill>
              <w14:schemeClr w14:val="tx1"/>
            </w14:solidFill>
          </w14:textFill>
        </w:rPr>
        <w:t xml:space="preserve"> là mô hình đơn vị sự nghiệp công lập, trong đó Trung tâm trực thuộc cơ quan nhà nước, có ưu điểm về tính ổn định và dễ dàng gắn với các chương trình, chính sách công. Tuy nhiên, hạn chế là cơ chế vận hành thường kém linh hoạt, khó thu hút nguồn lực xã hội và chưa phù hợp với đặc thù của hoạt động ĐMST.</w:t>
      </w:r>
    </w:p>
    <w:p w14:paraId="17243EF1">
      <w:pPr>
        <w:spacing w:before="120" w:line="312"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ba</w:t>
      </w:r>
      <w:r>
        <w:rPr>
          <w:color w:val="000000" w:themeColor="text1"/>
          <w:sz w:val="26"/>
          <w:szCs w:val="26"/>
          <w:lang w:val="vi-VN"/>
          <w14:textFill>
            <w14:solidFill>
              <w14:schemeClr w14:val="tx1"/>
            </w14:solidFill>
          </w14:textFill>
        </w:rPr>
        <w:t xml:space="preserve"> là mô hình kết hợp công – tư, trong đó Nhà nước giữ vai trò định hướng và hỗ trợ ban đầu, đồng thời tạo điều kiện để các doanh nghiệp, tổ chức và nhà đầu tư tham gia vào quá trình vận hành. Đây là mô hình có xu hướng ngày càng phổ biến do dung hòa được yêu cầu quản lý nhà nước với tính linh hoạt của thị trường.</w:t>
      </w:r>
    </w:p>
    <w:p w14:paraId="648F747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Đối với tỉnh Ninh Bình, mô hình Trung tâm ĐMST được đề xuất theo hướng kết hợp, trong đó Nhà nước giữ vai trò kiến tạo, định hướng và đầu tư nền tảng ban đầu, đồng thời Trung tâm được vận hành theo cơ chế linh hoạt, từng bước mở rộng sự tham gia của khu vực tư nhân và các đối tác trong và ngoài nước. Cách tiếp cận này cho phép Trung tâm vừa thực hiện hiệu quả các nhiệm vụ công, vừa có khả năng thích ứng nhanh với nhu cầu của doanh nghiệp và thị trường.</w:t>
      </w:r>
    </w:p>
    <w:p w14:paraId="6E742663">
      <w:pPr>
        <w:spacing w:before="120" w:line="312" w:lineRule="auto"/>
        <w:ind w:firstLine="567"/>
        <w:rPr>
          <w:color w:val="000000" w:themeColor="text1"/>
          <w:sz w:val="26"/>
          <w:szCs w:val="26"/>
          <w:lang w:val="vi-VN"/>
          <w14:textFill>
            <w14:solidFill>
              <w14:schemeClr w14:val="tx1"/>
            </w14:solidFill>
          </w14:textFill>
        </w:rPr>
      </w:pPr>
      <w:r>
        <w:rPr>
          <w:b/>
          <w:bCs/>
          <w:i/>
          <w:iCs/>
          <w:color w:val="000000" w:themeColor="text1"/>
          <w:sz w:val="26"/>
          <w:szCs w:val="26"/>
          <w:lang w:val="vi-VN"/>
          <w14:textFill>
            <w14:solidFill>
              <w14:schemeClr w14:val="tx1"/>
            </w14:solidFill>
          </w14:textFill>
        </w:rPr>
        <w:t>Về cơ chế vận hành</w:t>
      </w:r>
      <w:r>
        <w:rPr>
          <w:color w:val="000000" w:themeColor="text1"/>
          <w:sz w:val="26"/>
          <w:szCs w:val="26"/>
          <w:lang w:val="vi-VN"/>
          <w14:textFill>
            <w14:solidFill>
              <w14:schemeClr w14:val="tx1"/>
            </w14:solidFill>
          </w14:textFill>
        </w:rPr>
        <w:t>, Trung tâm được định hướng hoạt động theo nguyên tắc:</w:t>
      </w:r>
    </w:p>
    <w:p w14:paraId="78F19B66">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Tự chủ từng phần về tài chính trên cơ sở cung cấp dịch vụ ĐMST </w:t>
      </w:r>
    </w:p>
    <w:p w14:paraId="67E3866C">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Linh hoạt trong hợp tác với doanh nghiệp, viện nghiên cứu và nhà đầu tư </w:t>
      </w:r>
    </w:p>
    <w:p w14:paraId="1EA8CC81">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Vận hành theo chương trình, dự án gắn với các mục tiêu ưu tiên của tỉnh </w:t>
      </w:r>
    </w:p>
    <w:p w14:paraId="4CBA4096">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Từng bước hình thành hệ sinh thái đối tác để mở rộng nguồn lực </w:t>
      </w:r>
    </w:p>
    <w:p w14:paraId="204C9E86">
      <w:pPr>
        <w:spacing w:before="120" w:line="312" w:lineRule="auto"/>
        <w:ind w:firstLine="567"/>
        <w:rPr>
          <w:color w:val="000000" w:themeColor="text1"/>
          <w:sz w:val="26"/>
          <w:szCs w:val="26"/>
          <w:lang w:val="vi-VN"/>
          <w14:textFill>
            <w14:solidFill>
              <w14:schemeClr w14:val="tx1"/>
            </w14:solidFill>
          </w14:textFill>
        </w:rPr>
      </w:pPr>
      <w:r>
        <w:rPr>
          <w:b/>
          <w:bCs/>
          <w:i/>
          <w:iCs/>
          <w:color w:val="000000" w:themeColor="text1"/>
          <w:sz w:val="26"/>
          <w:szCs w:val="26"/>
          <w:lang w:val="vi-VN"/>
          <w14:textFill>
            <w14:solidFill>
              <w14:schemeClr w14:val="tx1"/>
            </w14:solidFill>
          </w14:textFill>
        </w:rPr>
        <w:t>Về tổ chức bộ máy</w:t>
      </w:r>
      <w:r>
        <w:rPr>
          <w:color w:val="000000" w:themeColor="text1"/>
          <w:sz w:val="26"/>
          <w:szCs w:val="26"/>
          <w:lang w:val="vi-VN"/>
          <w14:textFill>
            <w14:solidFill>
              <w14:schemeClr w14:val="tx1"/>
            </w14:solidFill>
          </w14:textFill>
        </w:rPr>
        <w:t>, Trung tâm được thiết kế theo cấu trúc tinh gọn nhưng tích hợp, bao gồm ba lớp chính.</w:t>
      </w:r>
    </w:p>
    <w:p w14:paraId="366A40F7">
      <w:pPr>
        <w:spacing w:before="120" w:line="312" w:lineRule="auto"/>
        <w:ind w:firstLine="567"/>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nhất,</w:t>
      </w:r>
      <w:r>
        <w:rPr>
          <w:color w:val="000000" w:themeColor="text1"/>
          <w:sz w:val="26"/>
          <w:szCs w:val="26"/>
          <w:lang w:val="vi-VN"/>
          <w14:textFill>
            <w14:solidFill>
              <w14:schemeClr w14:val="tx1"/>
            </w14:solidFill>
          </w14:textFill>
        </w:rPr>
        <w:t xml:space="preserve"> Ban lãnh đạo Trung tâm, chịu trách nhiệm định hướng chiến lược, điều hành chung và kết nối với các cơ quan quản lý nhà nước cũng như các đối tác chiến lược.</w:t>
      </w:r>
    </w:p>
    <w:p w14:paraId="254B05BF">
      <w:pPr>
        <w:spacing w:before="120" w:line="312" w:lineRule="auto"/>
        <w:ind w:firstLine="567"/>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hai,</w:t>
      </w:r>
      <w:r>
        <w:rPr>
          <w:color w:val="000000" w:themeColor="text1"/>
          <w:sz w:val="26"/>
          <w:szCs w:val="26"/>
          <w:lang w:val="vi-VN"/>
          <w14:textFill>
            <w14:solidFill>
              <w14:schemeClr w14:val="tx1"/>
            </w14:solidFill>
          </w14:textFill>
        </w:rPr>
        <w:t xml:space="preserve"> các đơn vị chức năng, được tổ chức theo các nhóm nhiệm vụ cốt lõi của hệ sinh thái ĐMST, bao gồm:</w:t>
      </w:r>
    </w:p>
    <w:p w14:paraId="4A2824D6">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Đơn vị kết nối và phát triển hệ sinh thái, phụ trách xây dựng mạng lưới đối tác, kết nối doanh nghiệp, nhà đầu tư và các chủ thể liên quan </w:t>
      </w:r>
    </w:p>
    <w:p w14:paraId="011A0548">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Đơn vị công nghệ và ĐMST, phụ trách triển khai các hoạt động nghiên cứu ứng dụng, thử nghiệm và chuyển giao công nghệ </w:t>
      </w:r>
    </w:p>
    <w:p w14:paraId="5E493EF8">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Đơn vị dịch vụ và hỗ trợ doanh nghiệp, cung cấp các dịch vụ ươm tạo, tư vấn, đào tạo và hỗ trợ thương mại hóa </w:t>
      </w:r>
    </w:p>
    <w:p w14:paraId="3B01A98E">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Đơn vị dữ liệu và nền tảng số, xây dựng và vận hành hệ thống dữ liệu hệ sinh thái, hỗ trợ quản trị và ra quyết định </w:t>
      </w:r>
    </w:p>
    <w:p w14:paraId="49D27C62">
      <w:pPr>
        <w:spacing w:before="120" w:line="312" w:lineRule="auto"/>
        <w:ind w:firstLine="567"/>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ba,</w:t>
      </w:r>
      <w:r>
        <w:rPr>
          <w:color w:val="000000" w:themeColor="text1"/>
          <w:sz w:val="26"/>
          <w:szCs w:val="26"/>
          <w:lang w:val="vi-VN"/>
          <w14:textFill>
            <w14:solidFill>
              <w14:schemeClr w14:val="tx1"/>
            </w14:solidFill>
          </w14:textFill>
        </w:rPr>
        <w:t xml:space="preserve"> các đơn vị trực thuộc và cấu phần triển khai, bao gồm:</w:t>
      </w:r>
    </w:p>
    <w:p w14:paraId="2AFAA69A">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Các vườn ươm và chương trình ươm tạo, đóng vai trò phát triển ý tưởng và doanh nghiệp ĐMST </w:t>
      </w:r>
    </w:p>
    <w:p w14:paraId="6CD6241B">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Các phòng thí nghiệm và không gian thử nghiệm, phục vụ nghiên cứu, phát triển và kiểm chứng công nghệ </w:t>
      </w:r>
    </w:p>
    <w:p w14:paraId="6E34088E">
      <w:pPr>
        <w:pStyle w:val="55"/>
        <w:numPr>
          <w:ilvl w:val="0"/>
          <w:numId w:val="5"/>
        </w:numPr>
        <w:tabs>
          <w:tab w:val="left" w:pos="720"/>
          <w:tab w:val="left" w:pos="990"/>
        </w:tabs>
        <w:spacing w:before="120" w:line="312" w:lineRule="auto"/>
        <w:ind w:left="0" w:firstLine="567"/>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Các nền tảng số và hệ thống điều hành hệ sinh thái, bảo đảm khả năng kết nối và vận hành đồng bộ </w:t>
      </w:r>
    </w:p>
    <w:p w14:paraId="5D392D3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Cấu trúc tổ chức này cho phép Trung tâm vừa thực hiện chức năng điều phối ở cấp hệ sinh thái, vừa trực tiếp triển khai các hoạt động ĐMST ở cấp thực thi, qua đó bảo đảm tính liên kết giữa chiến lược và hành động, giữa định hướng chính sách và kết quả cụ thể.</w:t>
      </w:r>
    </w:p>
    <w:p w14:paraId="75896E86">
      <w:pPr>
        <w:pStyle w:val="2"/>
        <w:jc w:val="center"/>
        <w:rPr>
          <w:b/>
          <w:bCs/>
          <w:color w:val="000000" w:themeColor="text1"/>
          <w:spacing w:val="-6"/>
          <w:lang w:val="vi-VN"/>
          <w14:textFill>
            <w14:solidFill>
              <w14:schemeClr w14:val="tx1"/>
            </w14:solidFill>
          </w14:textFill>
        </w:rPr>
      </w:pPr>
      <w:bookmarkStart w:id="112" w:name="_Toc233183701"/>
      <w:r>
        <w:rPr>
          <w:b/>
          <w:bCs/>
          <w:color w:val="000000" w:themeColor="text1"/>
          <w:spacing w:val="-6"/>
          <w:lang w:val="vi-VN"/>
          <w14:textFill>
            <w14:solidFill>
              <w14:schemeClr w14:val="tx1"/>
            </w14:solidFill>
          </w14:textFill>
        </w:rPr>
        <w:t>PHẦN VI</w:t>
      </w:r>
      <w:r>
        <w:rPr>
          <w:b/>
          <w:bCs/>
          <w:spacing w:val="-6"/>
          <w:lang w:val="vi-VN"/>
        </w:rPr>
        <w:t xml:space="preserve"> – </w:t>
      </w:r>
      <w:r>
        <w:rPr>
          <w:rFonts w:hint="default"/>
          <w:b/>
          <w:bCs/>
          <w:spacing w:val="-6"/>
          <w:lang w:val="en-GB"/>
        </w:rPr>
        <w:t>LỘ TRÌNH</w:t>
      </w:r>
      <w:r>
        <w:rPr>
          <w:b/>
          <w:bCs/>
          <w:color w:val="000000" w:themeColor="text1"/>
          <w:spacing w:val="-6"/>
          <w:lang w:val="vi-VN"/>
          <w14:textFill>
            <w14:solidFill>
              <w14:schemeClr w14:val="tx1"/>
            </w14:solidFill>
          </w14:textFill>
        </w:rPr>
        <w:t xml:space="preserve"> PHÁT TRIỂN HỆ SINH THÁI ĐMST TỈNH NINH BÌNH</w:t>
      </w:r>
      <w:bookmarkEnd w:id="112"/>
    </w:p>
    <w:p w14:paraId="3462041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Trong bối cảnh hệ sinh thái ĐMST của tỉnh Ninh Bình đang ở giai đoạn hình thành, việc phát triển cần được triển khai theo lộ trình phù hợp nhằm bảo đảm tính khả thi, hiệu quả và phù hợp với khả năng huy động nguồn lực của địa phương. Lộ trình phát triển hệ sinh thái ĐMST của tỉnh được xây dựng theo nguyên tắc hình thành nền tảng trước, phát triển năng lực chuyên sâu sau và từng bước mở rộng phạm vi tác động trên toàn tỉnh.</w:t>
      </w:r>
    </w:p>
    <w:p w14:paraId="0B272D7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Theo đó, giai đoạn 2026–2030 được chia thành ba giai đoạn phát triển liên tiếp. Giai đoạn đầu tập trung xây dựng các cấu phần nền tảng của hệ sinh thái, hình thành thiết chế điều phối trung tâm và các công cụ quản trị chung. Giai đoạn tiếp theo tập trung phát triển các trung tâm ĐMST chuyên ngành gắn với các lĩnh vực có tiềm năng và lợi thế cạnh tranh của tỉnh. Trên cơ sở đó, giai đoạn cuối hướng tới mở rộng mạng lưới ĐMST trên phạm vi toàn tỉnh, tăng cường liên kết vùng, kết nối quốc gia và quốc tế, từng bước đưa ĐMST trở thành động lực quan trọng thúc đẩy phát triển kinh tế - xã hội của tỉnh.</w:t>
      </w:r>
    </w:p>
    <w:p w14:paraId="2E6E4E45">
      <w:pPr>
        <w:pStyle w:val="3"/>
        <w:rPr>
          <w:color w:val="000000" w:themeColor="text1"/>
          <w14:textFill>
            <w14:solidFill>
              <w14:schemeClr w14:val="tx1"/>
            </w14:solidFill>
          </w14:textFill>
        </w:rPr>
      </w:pPr>
      <w:bookmarkStart w:id="113" w:name="_Toc233183702"/>
      <w:r>
        <w:rPr>
          <w:color w:val="000000" w:themeColor="text1"/>
          <w14:textFill>
            <w14:solidFill>
              <w14:schemeClr w14:val="tx1"/>
            </w14:solidFill>
          </w14:textFill>
        </w:rPr>
        <w:t>I. GIAI ĐOẠN 1 (2026–2027): Xây dựng nền tảng hệ sinh thái ĐMST</w:t>
      </w:r>
      <w:bookmarkEnd w:id="113"/>
    </w:p>
    <w:p w14:paraId="78961D33">
      <w:pPr>
        <w:pStyle w:val="4"/>
        <w:rPr>
          <w:color w:val="000000" w:themeColor="text1"/>
          <w14:textFill>
            <w14:solidFill>
              <w14:schemeClr w14:val="tx1"/>
            </w14:solidFill>
          </w14:textFill>
        </w:rPr>
      </w:pPr>
      <w:bookmarkStart w:id="114" w:name="_Toc233183703"/>
      <w:r>
        <w:rPr>
          <w:color w:val="000000" w:themeColor="text1"/>
          <w14:textFill>
            <w14:solidFill>
              <w14:schemeClr w14:val="tx1"/>
            </w14:solidFill>
          </w14:textFill>
        </w:rPr>
        <w:t>1.1. Nhiệm vụ trọng tâm:</w:t>
      </w:r>
      <w:bookmarkEnd w:id="114"/>
      <w:r>
        <w:rPr>
          <w:color w:val="000000" w:themeColor="text1"/>
          <w14:textFill>
            <w14:solidFill>
              <w14:schemeClr w14:val="tx1"/>
            </w14:solidFill>
          </w14:textFill>
        </w:rPr>
        <w:t xml:space="preserve"> </w:t>
      </w:r>
    </w:p>
    <w:p w14:paraId="58BD7F9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Hình thành các cấu phần nền tảng phục vụ điều phối, kết nối và vận hành hệ sinh thái ĐMST của tỉnh.</w:t>
      </w:r>
    </w:p>
    <w:p w14:paraId="78D390A0">
      <w:pPr>
        <w:pStyle w:val="4"/>
        <w:rPr>
          <w:color w:val="000000" w:themeColor="text1"/>
          <w14:textFill>
            <w14:solidFill>
              <w14:schemeClr w14:val="tx1"/>
            </w14:solidFill>
          </w14:textFill>
        </w:rPr>
      </w:pPr>
      <w:bookmarkStart w:id="115" w:name="_Toc233183704"/>
      <w:r>
        <w:rPr>
          <w:color w:val="000000" w:themeColor="text1"/>
          <w14:textFill>
            <w14:solidFill>
              <w14:schemeClr w14:val="tx1"/>
            </w14:solidFill>
          </w14:textFill>
        </w:rPr>
        <w:t>1.2. Các kết quả cần hoàn thành</w:t>
      </w:r>
      <w:bookmarkEnd w:id="115"/>
    </w:p>
    <w:p w14:paraId="676037B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(1) </w:t>
      </w:r>
      <w:r>
        <w:rPr>
          <w:rFonts w:hint="default"/>
          <w:color w:val="000000" w:themeColor="text1"/>
          <w:sz w:val="26"/>
          <w:szCs w:val="26"/>
          <w:lang w:val="en-GB"/>
          <w14:textFill>
            <w14:solidFill>
              <w14:schemeClr w14:val="tx1"/>
            </w14:solidFill>
          </w14:textFill>
        </w:rPr>
        <w:t>Quy hoạch địa điểm, quy mô, thiết kế chi tiết trụ sở</w:t>
      </w:r>
      <w:r>
        <w:rPr>
          <w:color w:val="000000" w:themeColor="text1"/>
          <w:sz w:val="26"/>
          <w:szCs w:val="26"/>
          <w:lang w:val="vi-VN"/>
          <w14:textFill>
            <w14:solidFill>
              <w14:schemeClr w14:val="tx1"/>
            </w14:solidFill>
          </w14:textFill>
        </w:rPr>
        <w:t xml:space="preserve"> Trung tâm ĐMST tỉnh Ninh Bình</w:t>
      </w:r>
    </w:p>
    <w:p w14:paraId="71476A5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Trung tâm ĐMST tỉnh được hình thành với vai trò là đầu mối điều phối, kết nối và dẫn dắt hệ sinh thái ĐMST; hỗ trợ doanh nghiệp, cơ sở giáo dục, tổ chức KH&amp;CN, nhà đầu tư và các tổ chức hỗ trợ ĐMST trên địa bàn tỉnh.</w:t>
      </w:r>
    </w:p>
    <w:p w14:paraId="5BC737D0">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(2) Xây dựng và đưa vào vận hành Ninh Binh Innovation Port</w:t>
      </w:r>
    </w:p>
    <w:p w14:paraId="04B506D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Hình thành nền tảng số quản trị hệ sinh thái ĐMST của tỉnh, tích hợp cơ sở dữ liệu về doanh nghiệp, startup, chuyên gia, công nghệ, cơ sở nghiên cứu, cơ sở giáo dục, chương trình hỗ trợ và các nguồn lực ĐMST.</w:t>
      </w:r>
    </w:p>
    <w:p w14:paraId="2FD475F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(3) Hình thành mạng lưới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giai đoạn thí điểm</w:t>
      </w:r>
    </w:p>
    <w:p w14:paraId="04BE7B5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Xây dựng khoảng </w:t>
      </w:r>
      <w:r>
        <w:rPr>
          <w:rFonts w:hint="default"/>
          <w:color w:val="000000" w:themeColor="text1"/>
          <w:sz w:val="26"/>
          <w:szCs w:val="26"/>
          <w:lang w:val="en-GB"/>
          <w14:textFill>
            <w14:solidFill>
              <w14:schemeClr w14:val="tx1"/>
            </w14:solidFill>
          </w14:textFill>
        </w:rPr>
        <w:t>3</w:t>
      </w:r>
      <w:r>
        <w:rPr>
          <w:color w:val="000000" w:themeColor="text1"/>
          <w:sz w:val="26"/>
          <w:szCs w:val="26"/>
          <w:lang w:val="vi-VN"/>
          <w14:textFill>
            <w14:solidFill>
              <w14:schemeClr w14:val="tx1"/>
            </w14:solidFill>
          </w14:textFill>
        </w:rPr>
        <w:t xml:space="preserve">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tại các khu công nghiệp, cơ sở giáo dục, nhà văn hóa, nhà học tập cộng đồng nhằm tạo các điểm kết nối, hỗ trợ và lan tỏa hoạt động ĐMST.</w:t>
      </w:r>
    </w:p>
    <w:p w14:paraId="1A8EA70D">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(4) Hình thành mạng lưới các tổ chức hỗ trợ ĐMST bước đầu</w:t>
      </w:r>
    </w:p>
    <w:p w14:paraId="6DAB6D85">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Thu hút và kết nối các tổ chức hỗ trợ doanh nghiệp, tổ chức thúc đẩy kinh doanh, vườn ươm, không gian làm việc chung, đơn vị tư vấn sở hữu trí tuệ và chuyển giao công nghệ tham gia hệ sinh thái.</w:t>
      </w:r>
    </w:p>
    <w:p w14:paraId="64957250">
      <w:pPr>
        <w:pStyle w:val="4"/>
        <w:rPr>
          <w:color w:val="000000" w:themeColor="text1"/>
          <w14:textFill>
            <w14:solidFill>
              <w14:schemeClr w14:val="tx1"/>
            </w14:solidFill>
          </w14:textFill>
        </w:rPr>
      </w:pPr>
      <w:bookmarkStart w:id="116" w:name="_Toc233183705"/>
      <w:r>
        <w:rPr>
          <w:color w:val="000000" w:themeColor="text1"/>
          <w14:textFill>
            <w14:solidFill>
              <w14:schemeClr w14:val="tx1"/>
            </w14:solidFill>
          </w14:textFill>
        </w:rPr>
        <w:t>1.3. Chỉ tiêu và mốc hoàn thành giai đoạn 1</w:t>
      </w:r>
      <w:bookmarkEnd w:id="116"/>
    </w:p>
    <w:p w14:paraId="544F4F96">
      <w:pPr>
        <w:spacing w:before="120" w:line="312" w:lineRule="auto"/>
        <w:jc w:val="center"/>
        <w:rPr>
          <w:b/>
          <w:bCs/>
          <w:color w:val="000000" w:themeColor="text1"/>
          <w:spacing w:val="-8"/>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r>
        <w:rPr>
          <w:b/>
          <w:bCs/>
          <w:color w:val="000000" w:themeColor="text1"/>
          <w:spacing w:val="-8"/>
          <w:sz w:val="26"/>
          <w:szCs w:val="26"/>
          <w:lang w:val="vi-VN"/>
          <w14:textFill>
            <w14:solidFill>
              <w14:schemeClr w14:val="tx1"/>
            </w14:solidFill>
          </w14:textFill>
        </w:rPr>
        <w:t>Bảng 4. Chỉ tiêu và mục tiêu của giai đoạn 1</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5673"/>
        <w:gridCol w:w="1682"/>
        <w:gridCol w:w="1418"/>
      </w:tblGrid>
      <w:tr w14:paraId="5424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01AD163F">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STT</w:t>
            </w:r>
          </w:p>
        </w:tc>
        <w:tc>
          <w:tcPr>
            <w:tcW w:w="5673" w:type="dxa"/>
            <w:vAlign w:val="center"/>
          </w:tcPr>
          <w:p w14:paraId="683B1FD0">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Chỉ tiêu/Kết quả cần đạt</w:t>
            </w:r>
          </w:p>
        </w:tc>
        <w:tc>
          <w:tcPr>
            <w:tcW w:w="1682" w:type="dxa"/>
            <w:vAlign w:val="center"/>
          </w:tcPr>
          <w:p w14:paraId="3F405FDB">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Đơn vị tính</w:t>
            </w:r>
          </w:p>
        </w:tc>
        <w:tc>
          <w:tcPr>
            <w:tcW w:w="1418" w:type="dxa"/>
            <w:vAlign w:val="center"/>
          </w:tcPr>
          <w:p w14:paraId="23AA379E">
            <w:pPr>
              <w:jc w:val="center"/>
              <w:rPr>
                <w:b/>
                <w:bCs/>
                <w:color w:val="000000" w:themeColor="text1"/>
                <w:spacing w:val="-8"/>
                <w:sz w:val="26"/>
                <w:szCs w:val="26"/>
                <w:lang w:val="vi-VN"/>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Mức hoàn thành đến năm 2027</w:t>
            </w:r>
          </w:p>
        </w:tc>
      </w:tr>
      <w:tr w14:paraId="731A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2A32984">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w:t>
            </w:r>
          </w:p>
        </w:tc>
        <w:tc>
          <w:tcPr>
            <w:tcW w:w="5673" w:type="dxa"/>
            <w:vAlign w:val="center"/>
          </w:tcPr>
          <w:p w14:paraId="187C5C89">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Thiết chế điều phối hệ sinh thái ĐMST</w:t>
            </w:r>
          </w:p>
        </w:tc>
        <w:tc>
          <w:tcPr>
            <w:tcW w:w="1682" w:type="dxa"/>
            <w:vAlign w:val="center"/>
          </w:tcPr>
          <w:p w14:paraId="75F6B45B">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1471F6EE">
            <w:pPr>
              <w:jc w:val="center"/>
              <w:rPr>
                <w:b/>
                <w:bCs/>
                <w:color w:val="000000" w:themeColor="text1"/>
                <w:spacing w:val="-8"/>
                <w:sz w:val="26"/>
                <w:szCs w:val="26"/>
                <w:lang w:val="vi-VN"/>
                <w14:textFill>
                  <w14:solidFill>
                    <w14:schemeClr w14:val="tx1"/>
                  </w14:solidFill>
                </w14:textFill>
              </w:rPr>
            </w:pPr>
          </w:p>
        </w:tc>
      </w:tr>
      <w:tr w14:paraId="7365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64C26B2F">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p>
        </w:tc>
        <w:tc>
          <w:tcPr>
            <w:tcW w:w="5673" w:type="dxa"/>
            <w:vAlign w:val="center"/>
          </w:tcPr>
          <w:p w14:paraId="1196D599">
            <w:pPr>
              <w:jc w:val="left"/>
              <w:rPr>
                <w:rFonts w:hint="default"/>
                <w:b/>
                <w:bCs/>
                <w:color w:val="000000" w:themeColor="text1"/>
                <w:spacing w:val="-8"/>
                <w:sz w:val="26"/>
                <w:szCs w:val="26"/>
                <w:lang w:val="en-GB"/>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 xml:space="preserve">Quy hoạch, thiết kế chi tiết </w:t>
            </w:r>
            <w:r>
              <w:rPr>
                <w:rFonts w:eastAsia="SimSun"/>
                <w:color w:val="000000" w:themeColor="text1"/>
                <w:sz w:val="26"/>
                <w:szCs w:val="26"/>
                <w:lang w:val="vi-VN" w:eastAsia="zh-CN" w:bidi="ar"/>
                <w14:textFill>
                  <w14:solidFill>
                    <w14:schemeClr w14:val="tx1"/>
                  </w14:solidFill>
                </w14:textFill>
              </w:rPr>
              <w:t xml:space="preserve">Trung tâm ĐMST tỉnh Ninh Bình được </w:t>
            </w:r>
            <w:r>
              <w:rPr>
                <w:rFonts w:hint="default" w:eastAsia="SimSun"/>
                <w:color w:val="000000" w:themeColor="text1"/>
                <w:sz w:val="26"/>
                <w:szCs w:val="26"/>
                <w:lang w:val="en-GB" w:eastAsia="zh-CN" w:bidi="ar"/>
                <w14:textFill>
                  <w14:solidFill>
                    <w14:schemeClr w14:val="tx1"/>
                  </w14:solidFill>
                </w14:textFill>
              </w:rPr>
              <w:t>hoàn thiện</w:t>
            </w:r>
          </w:p>
        </w:tc>
        <w:tc>
          <w:tcPr>
            <w:tcW w:w="1682" w:type="dxa"/>
            <w:vAlign w:val="center"/>
          </w:tcPr>
          <w:p w14:paraId="628D1B28">
            <w:pPr>
              <w:jc w:val="center"/>
              <w:rPr>
                <w:rFonts w:hint="default"/>
                <w:b/>
                <w:bCs/>
                <w:color w:val="000000" w:themeColor="text1"/>
                <w:spacing w:val="-8"/>
                <w:sz w:val="26"/>
                <w:szCs w:val="26"/>
                <w:lang w:val="en-GB"/>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Hồ sơ</w:t>
            </w:r>
          </w:p>
        </w:tc>
        <w:tc>
          <w:tcPr>
            <w:tcW w:w="1418" w:type="dxa"/>
            <w:vAlign w:val="center"/>
          </w:tcPr>
          <w:p w14:paraId="5A57BFCC">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1E73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23C3F1D2">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w:t>
            </w:r>
          </w:p>
        </w:tc>
        <w:tc>
          <w:tcPr>
            <w:tcW w:w="5673" w:type="dxa"/>
            <w:vAlign w:val="center"/>
          </w:tcPr>
          <w:p w14:paraId="2F20DAA2">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Bộ máy quản lý, vận hành Trung tâm ĐMST được kiện toàn</w:t>
            </w:r>
          </w:p>
        </w:tc>
        <w:tc>
          <w:tcPr>
            <w:tcW w:w="1682" w:type="dxa"/>
            <w:vAlign w:val="center"/>
          </w:tcPr>
          <w:p w14:paraId="1A704E6C">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w:t>
            </w:r>
          </w:p>
        </w:tc>
        <w:tc>
          <w:tcPr>
            <w:tcW w:w="1418" w:type="dxa"/>
            <w:vAlign w:val="center"/>
          </w:tcPr>
          <w:p w14:paraId="617D4958">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100%</w:t>
            </w:r>
          </w:p>
        </w:tc>
      </w:tr>
      <w:tr w14:paraId="29AE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52DE4580">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3</w:t>
            </w:r>
          </w:p>
        </w:tc>
        <w:tc>
          <w:tcPr>
            <w:tcW w:w="5673" w:type="dxa"/>
            <w:vAlign w:val="center"/>
          </w:tcPr>
          <w:p w14:paraId="341D142C">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Quy chế hoạt động và cơ chế phối hợp của Trung tâm ĐMST được ban hành</w:t>
            </w:r>
          </w:p>
        </w:tc>
        <w:tc>
          <w:tcPr>
            <w:tcW w:w="1682" w:type="dxa"/>
            <w:vAlign w:val="center"/>
          </w:tcPr>
          <w:p w14:paraId="5A9B993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Bộ quy chế</w:t>
            </w:r>
          </w:p>
        </w:tc>
        <w:tc>
          <w:tcPr>
            <w:tcW w:w="1418" w:type="dxa"/>
            <w:vAlign w:val="center"/>
          </w:tcPr>
          <w:p w14:paraId="1E5122BB">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08EE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64DF344">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II</w:t>
            </w:r>
          </w:p>
        </w:tc>
        <w:tc>
          <w:tcPr>
            <w:tcW w:w="5673" w:type="dxa"/>
            <w:vAlign w:val="center"/>
          </w:tcPr>
          <w:p w14:paraId="477A4601">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Hạ tầng số và dữ liệu hệ sinh thái ĐMST</w:t>
            </w:r>
          </w:p>
        </w:tc>
        <w:tc>
          <w:tcPr>
            <w:tcW w:w="1682" w:type="dxa"/>
            <w:vAlign w:val="center"/>
          </w:tcPr>
          <w:p w14:paraId="38DC6716">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7A6B7ED8">
            <w:pPr>
              <w:jc w:val="center"/>
              <w:rPr>
                <w:b/>
                <w:bCs/>
                <w:color w:val="000000" w:themeColor="text1"/>
                <w:spacing w:val="-8"/>
                <w:sz w:val="26"/>
                <w:szCs w:val="26"/>
                <w:lang w:val="vi-VN"/>
                <w14:textFill>
                  <w14:solidFill>
                    <w14:schemeClr w14:val="tx1"/>
                  </w14:solidFill>
                </w14:textFill>
              </w:rPr>
            </w:pPr>
          </w:p>
        </w:tc>
      </w:tr>
      <w:tr w14:paraId="1D36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341E3F5B">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4</w:t>
            </w:r>
          </w:p>
        </w:tc>
        <w:tc>
          <w:tcPr>
            <w:tcW w:w="5673" w:type="dxa"/>
            <w:vAlign w:val="center"/>
          </w:tcPr>
          <w:p w14:paraId="0771471A">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Nền tảng số Ninh Binh Innovation Port được xây dựng và vận hành</w:t>
            </w:r>
          </w:p>
        </w:tc>
        <w:tc>
          <w:tcPr>
            <w:tcW w:w="1682" w:type="dxa"/>
            <w:vAlign w:val="center"/>
          </w:tcPr>
          <w:p w14:paraId="1FC15709">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Nền tảng</w:t>
            </w:r>
          </w:p>
        </w:tc>
        <w:tc>
          <w:tcPr>
            <w:tcW w:w="1418" w:type="dxa"/>
            <w:vAlign w:val="center"/>
          </w:tcPr>
          <w:p w14:paraId="5734BCA6">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761B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3F42AC56">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5</w:t>
            </w:r>
          </w:p>
        </w:tc>
        <w:tc>
          <w:tcPr>
            <w:tcW w:w="5673" w:type="dxa"/>
            <w:vAlign w:val="center"/>
          </w:tcPr>
          <w:p w14:paraId="7BDA22E6">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Cơ sở dữ liệu hệ sinh thái ĐMST tỉnh được hình thành</w:t>
            </w:r>
          </w:p>
        </w:tc>
        <w:tc>
          <w:tcPr>
            <w:tcW w:w="1682" w:type="dxa"/>
            <w:vAlign w:val="center"/>
          </w:tcPr>
          <w:p w14:paraId="7A79D294">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CSDL</w:t>
            </w:r>
          </w:p>
        </w:tc>
        <w:tc>
          <w:tcPr>
            <w:tcW w:w="1418" w:type="dxa"/>
            <w:vAlign w:val="center"/>
          </w:tcPr>
          <w:p w14:paraId="2E906FBA">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72BB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059E367F">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6</w:t>
            </w:r>
          </w:p>
        </w:tc>
        <w:tc>
          <w:tcPr>
            <w:tcW w:w="5673" w:type="dxa"/>
            <w:vAlign w:val="center"/>
          </w:tcPr>
          <w:p w14:paraId="219D4708">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Doanh nghiệp, tổ chức KH&amp;CN, cơ sở giáo dục, chuyên gia được cập nhật trên hệ thống</w:t>
            </w:r>
          </w:p>
        </w:tc>
        <w:tc>
          <w:tcPr>
            <w:tcW w:w="1682" w:type="dxa"/>
            <w:vAlign w:val="center"/>
          </w:tcPr>
          <w:p w14:paraId="29BACDC8">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Đơn vị/Hồ sơ</w:t>
            </w:r>
          </w:p>
        </w:tc>
        <w:tc>
          <w:tcPr>
            <w:tcW w:w="1418" w:type="dxa"/>
            <w:vAlign w:val="center"/>
          </w:tcPr>
          <w:p w14:paraId="7E753D41">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500</w:t>
            </w:r>
          </w:p>
        </w:tc>
      </w:tr>
      <w:tr w14:paraId="697F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2F27FF5D">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III</w:t>
            </w:r>
          </w:p>
        </w:tc>
        <w:tc>
          <w:tcPr>
            <w:tcW w:w="5673" w:type="dxa"/>
            <w:vAlign w:val="center"/>
          </w:tcPr>
          <w:p w14:paraId="2C7C66A2">
            <w:pPr>
              <w:jc w:val="left"/>
              <w:rPr>
                <w:b/>
                <w:bCs/>
                <w:color w:val="000000" w:themeColor="text1"/>
                <w:spacing w:val="-8"/>
                <w:sz w:val="26"/>
                <w:szCs w:val="26"/>
                <w:lang w:val="en-GB"/>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 xml:space="preserve">Mạng lưới </w:t>
            </w:r>
            <w:r>
              <w:rPr>
                <w:rStyle w:val="24"/>
                <w:rFonts w:eastAsia="SimSun"/>
                <w:color w:val="000000" w:themeColor="text1"/>
                <w:sz w:val="26"/>
                <w:szCs w:val="26"/>
                <w:lang w:val="en-GB" w:eastAsia="zh-CN" w:bidi="ar"/>
                <w14:textFill>
                  <w14:solidFill>
                    <w14:schemeClr w14:val="tx1"/>
                  </w14:solidFill>
                </w14:textFill>
              </w:rPr>
              <w:t>Không gian khởi nghiệp sáng tạo cộng đồng</w:t>
            </w:r>
          </w:p>
        </w:tc>
        <w:tc>
          <w:tcPr>
            <w:tcW w:w="1682" w:type="dxa"/>
            <w:vAlign w:val="center"/>
          </w:tcPr>
          <w:p w14:paraId="3B7A1225">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5516DF3F">
            <w:pPr>
              <w:jc w:val="center"/>
              <w:rPr>
                <w:b/>
                <w:bCs/>
                <w:color w:val="000000" w:themeColor="text1"/>
                <w:spacing w:val="-8"/>
                <w:sz w:val="26"/>
                <w:szCs w:val="26"/>
                <w:lang w:val="vi-VN"/>
                <w14:textFill>
                  <w14:solidFill>
                    <w14:schemeClr w14:val="tx1"/>
                  </w14:solidFill>
                </w14:textFill>
              </w:rPr>
            </w:pPr>
          </w:p>
        </w:tc>
      </w:tr>
      <w:tr w14:paraId="6A8A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535A0FCD">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7</w:t>
            </w:r>
          </w:p>
        </w:tc>
        <w:tc>
          <w:tcPr>
            <w:tcW w:w="5673" w:type="dxa"/>
            <w:vAlign w:val="center"/>
          </w:tcPr>
          <w:p w14:paraId="411D1C9D">
            <w:pPr>
              <w:jc w:val="left"/>
              <w:rPr>
                <w:rFonts w:hint="default"/>
                <w:b/>
                <w:bCs/>
                <w:color w:val="000000" w:themeColor="text1"/>
                <w:spacing w:val="-8"/>
                <w:sz w:val="26"/>
                <w:szCs w:val="26"/>
                <w:lang w:val="en-GB"/>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 xml:space="preserve">Mô hình hoạt động của </w:t>
            </w:r>
            <w:r>
              <w:rPr>
                <w:rFonts w:eastAsia="SimSun"/>
                <w:color w:val="000000" w:themeColor="text1"/>
                <w:sz w:val="26"/>
                <w:szCs w:val="26"/>
                <w:lang w:val="en-GB" w:eastAsia="zh-CN" w:bidi="ar"/>
                <w14:textFill>
                  <w14:solidFill>
                    <w14:schemeClr w14:val="tx1"/>
                  </w14:solidFill>
                </w14:textFill>
              </w:rPr>
              <w:t>Không gian khởi nghiệp sáng tạo cộng đồng</w:t>
            </w:r>
            <w:r>
              <w:rPr>
                <w:rFonts w:eastAsia="SimSun"/>
                <w:color w:val="000000" w:themeColor="text1"/>
                <w:sz w:val="26"/>
                <w:szCs w:val="26"/>
                <w:lang w:val="vi-VN" w:eastAsia="zh-CN" w:bidi="ar"/>
                <w14:textFill>
                  <w14:solidFill>
                    <w14:schemeClr w14:val="tx1"/>
                  </w14:solidFill>
                </w14:textFill>
              </w:rPr>
              <w:t xml:space="preserve"> được</w:t>
            </w:r>
            <w:r>
              <w:rPr>
                <w:rFonts w:hint="default" w:eastAsia="SimSun"/>
                <w:color w:val="000000" w:themeColor="text1"/>
                <w:sz w:val="26"/>
                <w:szCs w:val="26"/>
                <w:lang w:val="en-GB" w:eastAsia="zh-CN" w:bidi="ar"/>
                <w14:textFill>
                  <w14:solidFill>
                    <w14:schemeClr w14:val="tx1"/>
                  </w14:solidFill>
                </w14:textFill>
              </w:rPr>
              <w:t xml:space="preserve"> hoàn thiện</w:t>
            </w:r>
          </w:p>
        </w:tc>
        <w:tc>
          <w:tcPr>
            <w:tcW w:w="1682" w:type="dxa"/>
            <w:vAlign w:val="center"/>
          </w:tcPr>
          <w:p w14:paraId="14DF9784">
            <w:pPr>
              <w:jc w:val="center"/>
              <w:rPr>
                <w:rFonts w:hint="default"/>
                <w:b/>
                <w:bCs/>
                <w:color w:val="000000" w:themeColor="text1"/>
                <w:spacing w:val="-8"/>
                <w:sz w:val="26"/>
                <w:szCs w:val="26"/>
                <w:lang w:val="en-GB"/>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Không gian</w:t>
            </w:r>
          </w:p>
        </w:tc>
        <w:tc>
          <w:tcPr>
            <w:tcW w:w="1418" w:type="dxa"/>
            <w:vAlign w:val="center"/>
          </w:tcPr>
          <w:p w14:paraId="60C46CAE">
            <w:pPr>
              <w:jc w:val="center"/>
              <w:rPr>
                <w:rFonts w:hint="default"/>
                <w:b/>
                <w:bCs/>
                <w:color w:val="000000" w:themeColor="text1"/>
                <w:spacing w:val="-8"/>
                <w:sz w:val="26"/>
                <w:szCs w:val="26"/>
                <w:lang w:val="en-GB"/>
                <w14:textFill>
                  <w14:solidFill>
                    <w14:schemeClr w14:val="tx1"/>
                  </w14:solidFill>
                </w14:textFill>
              </w:rPr>
            </w:pPr>
            <w:r>
              <w:rPr>
                <w:rFonts w:hint="default"/>
                <w:b w:val="0"/>
                <w:bCs w:val="0"/>
                <w:color w:val="000000" w:themeColor="text1"/>
                <w:spacing w:val="-8"/>
                <w:sz w:val="26"/>
                <w:szCs w:val="26"/>
                <w:lang w:val="en-GB"/>
                <w14:textFill>
                  <w14:solidFill>
                    <w14:schemeClr w14:val="tx1"/>
                  </w14:solidFill>
                </w14:textFill>
              </w:rPr>
              <w:t>3</w:t>
            </w:r>
          </w:p>
        </w:tc>
      </w:tr>
      <w:tr w14:paraId="7F71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558E78C4">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8</w:t>
            </w:r>
          </w:p>
        </w:tc>
        <w:tc>
          <w:tcPr>
            <w:tcW w:w="5673" w:type="dxa"/>
            <w:vAlign w:val="center"/>
          </w:tcPr>
          <w:p w14:paraId="55BBE7F8">
            <w:pPr>
              <w:jc w:val="left"/>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GB" w:eastAsia="zh-CN" w:bidi="ar"/>
                <w14:textFill>
                  <w14:solidFill>
                    <w14:schemeClr w14:val="tx1"/>
                  </w14:solidFill>
                </w14:textFill>
              </w:rPr>
              <w:t>Không gian khởi nghiệp sáng tạo cộng đồng</w:t>
            </w:r>
            <w:r>
              <w:rPr>
                <w:rFonts w:eastAsia="SimSun"/>
                <w:color w:val="000000" w:themeColor="text1"/>
                <w:sz w:val="26"/>
                <w:szCs w:val="26"/>
                <w:lang w:val="vi-VN" w:eastAsia="zh-CN" w:bidi="ar"/>
                <w14:textFill>
                  <w14:solidFill>
                    <w14:schemeClr w14:val="tx1"/>
                  </w14:solidFill>
                </w14:textFill>
              </w:rPr>
              <w:t xml:space="preserve"> tại khu công nghiệp</w:t>
            </w:r>
            <w:r>
              <w:rPr>
                <w:rFonts w:hint="default" w:eastAsia="SimSun"/>
                <w:color w:val="000000" w:themeColor="text1"/>
                <w:sz w:val="26"/>
                <w:szCs w:val="26"/>
                <w:lang w:val="en-GB" w:eastAsia="zh-CN" w:bidi="ar"/>
                <w14:textFill>
                  <w14:solidFill>
                    <w14:schemeClr w14:val="tx1"/>
                  </w14:solidFill>
                </w14:textFill>
              </w:rPr>
              <w:t xml:space="preserve"> được vận hành thí điểm</w:t>
            </w:r>
          </w:p>
        </w:tc>
        <w:tc>
          <w:tcPr>
            <w:tcW w:w="1682" w:type="dxa"/>
            <w:vAlign w:val="center"/>
          </w:tcPr>
          <w:p w14:paraId="24BEFD19">
            <w:pPr>
              <w:jc w:val="center"/>
              <w:rPr>
                <w:b/>
                <w:bCs/>
                <w:color w:val="000000" w:themeColor="text1"/>
                <w:spacing w:val="-8"/>
                <w:sz w:val="26"/>
                <w:szCs w:val="26"/>
                <w:lang w:val="vi-VN"/>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Không gian</w:t>
            </w:r>
          </w:p>
        </w:tc>
        <w:tc>
          <w:tcPr>
            <w:tcW w:w="1418" w:type="dxa"/>
            <w:vAlign w:val="center"/>
          </w:tcPr>
          <w:p w14:paraId="4E00600E">
            <w:pPr>
              <w:jc w:val="center"/>
              <w:rPr>
                <w:rFonts w:hint="default"/>
                <w:color w:val="000000" w:themeColor="text1"/>
                <w:spacing w:val="-8"/>
                <w:sz w:val="26"/>
                <w:szCs w:val="26"/>
                <w:lang w:val="en-GB"/>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1</w:t>
            </w:r>
          </w:p>
        </w:tc>
      </w:tr>
      <w:tr w14:paraId="75B4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4AE6D497">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9</w:t>
            </w:r>
          </w:p>
        </w:tc>
        <w:tc>
          <w:tcPr>
            <w:tcW w:w="5673" w:type="dxa"/>
            <w:vAlign w:val="center"/>
          </w:tcPr>
          <w:p w14:paraId="147689A3">
            <w:pPr>
              <w:jc w:val="left"/>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GB" w:eastAsia="zh-CN" w:bidi="ar"/>
                <w14:textFill>
                  <w14:solidFill>
                    <w14:schemeClr w14:val="tx1"/>
                  </w14:solidFill>
                </w14:textFill>
              </w:rPr>
              <w:t>Không gian khởi nghiệp sáng tạo cộng đồng</w:t>
            </w:r>
            <w:r>
              <w:rPr>
                <w:rFonts w:eastAsia="SimSun"/>
                <w:color w:val="000000" w:themeColor="text1"/>
                <w:sz w:val="26"/>
                <w:szCs w:val="26"/>
                <w:lang w:val="vi-VN" w:eastAsia="zh-CN" w:bidi="ar"/>
                <w14:textFill>
                  <w14:solidFill>
                    <w14:schemeClr w14:val="tx1"/>
                  </w14:solidFill>
                </w14:textFill>
              </w:rPr>
              <w:t xml:space="preserve"> tại cơ sở giáo dục, đào tạo</w:t>
            </w:r>
            <w:r>
              <w:rPr>
                <w:rFonts w:hint="default" w:eastAsia="SimSun"/>
                <w:color w:val="000000" w:themeColor="text1"/>
                <w:sz w:val="26"/>
                <w:szCs w:val="26"/>
                <w:lang w:val="en-GB" w:eastAsia="zh-CN" w:bidi="ar"/>
                <w14:textFill>
                  <w14:solidFill>
                    <w14:schemeClr w14:val="tx1"/>
                  </w14:solidFill>
                </w14:textFill>
              </w:rPr>
              <w:t xml:space="preserve"> được vận hành thí điểm</w:t>
            </w:r>
          </w:p>
        </w:tc>
        <w:tc>
          <w:tcPr>
            <w:tcW w:w="1682" w:type="dxa"/>
            <w:vAlign w:val="center"/>
          </w:tcPr>
          <w:p w14:paraId="228AF175">
            <w:pPr>
              <w:jc w:val="center"/>
              <w:rPr>
                <w:b/>
                <w:bCs/>
                <w:color w:val="000000" w:themeColor="text1"/>
                <w:spacing w:val="-8"/>
                <w:sz w:val="26"/>
                <w:szCs w:val="26"/>
                <w:lang w:val="vi-VN"/>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Không gian</w:t>
            </w:r>
          </w:p>
        </w:tc>
        <w:tc>
          <w:tcPr>
            <w:tcW w:w="1418" w:type="dxa"/>
            <w:vAlign w:val="center"/>
          </w:tcPr>
          <w:p w14:paraId="475DD4AB">
            <w:pPr>
              <w:jc w:val="center"/>
              <w:rPr>
                <w:rFonts w:hint="default"/>
                <w:color w:val="000000" w:themeColor="text1"/>
                <w:spacing w:val="-8"/>
                <w:sz w:val="26"/>
                <w:szCs w:val="26"/>
                <w:lang w:val="en-GB"/>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1</w:t>
            </w:r>
          </w:p>
        </w:tc>
      </w:tr>
      <w:tr w14:paraId="49A0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29062FE5">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10</w:t>
            </w:r>
          </w:p>
        </w:tc>
        <w:tc>
          <w:tcPr>
            <w:tcW w:w="5673" w:type="dxa"/>
            <w:vAlign w:val="center"/>
          </w:tcPr>
          <w:p w14:paraId="6D682035">
            <w:pPr>
              <w:jc w:val="left"/>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GB" w:eastAsia="zh-CN" w:bidi="ar"/>
                <w14:textFill>
                  <w14:solidFill>
                    <w14:schemeClr w14:val="tx1"/>
                  </w14:solidFill>
                </w14:textFill>
              </w:rPr>
              <w:t>Không gian khởi nghiệp sáng tạo cộng đồng</w:t>
            </w:r>
            <w:r>
              <w:rPr>
                <w:rFonts w:eastAsia="SimSun"/>
                <w:color w:val="000000" w:themeColor="text1"/>
                <w:sz w:val="26"/>
                <w:szCs w:val="26"/>
                <w:lang w:val="vi-VN" w:eastAsia="zh-CN" w:bidi="ar"/>
                <w14:textFill>
                  <w14:solidFill>
                    <w14:schemeClr w14:val="tx1"/>
                  </w14:solidFill>
                </w14:textFill>
              </w:rPr>
              <w:t xml:space="preserve"> tại nhà văn hóa, trung tâm cộng đồng</w:t>
            </w:r>
            <w:r>
              <w:rPr>
                <w:rFonts w:hint="default" w:eastAsia="SimSun"/>
                <w:color w:val="000000" w:themeColor="text1"/>
                <w:sz w:val="26"/>
                <w:szCs w:val="26"/>
                <w:lang w:val="en-GB" w:eastAsia="zh-CN" w:bidi="ar"/>
                <w14:textFill>
                  <w14:solidFill>
                    <w14:schemeClr w14:val="tx1"/>
                  </w14:solidFill>
                </w14:textFill>
              </w:rPr>
              <w:t xml:space="preserve"> được vận hành thí điểm</w:t>
            </w:r>
          </w:p>
        </w:tc>
        <w:tc>
          <w:tcPr>
            <w:tcW w:w="1682" w:type="dxa"/>
            <w:vAlign w:val="center"/>
          </w:tcPr>
          <w:p w14:paraId="4EA87E0D">
            <w:pPr>
              <w:jc w:val="center"/>
              <w:rPr>
                <w:b/>
                <w:bCs/>
                <w:color w:val="000000" w:themeColor="text1"/>
                <w:spacing w:val="-8"/>
                <w:sz w:val="26"/>
                <w:szCs w:val="26"/>
                <w:lang w:val="vi-VN"/>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Không gian</w:t>
            </w:r>
          </w:p>
        </w:tc>
        <w:tc>
          <w:tcPr>
            <w:tcW w:w="1418" w:type="dxa"/>
            <w:vAlign w:val="center"/>
          </w:tcPr>
          <w:p w14:paraId="30F888AC">
            <w:pPr>
              <w:jc w:val="center"/>
              <w:rPr>
                <w:rFonts w:hint="default"/>
                <w:color w:val="000000" w:themeColor="text1"/>
                <w:spacing w:val="-8"/>
                <w:sz w:val="26"/>
                <w:szCs w:val="26"/>
                <w:lang w:val="en-GB"/>
                <w14:textFill>
                  <w14:solidFill>
                    <w14:schemeClr w14:val="tx1"/>
                  </w14:solidFill>
                </w14:textFill>
              </w:rPr>
            </w:pPr>
            <w:r>
              <w:rPr>
                <w:rFonts w:hint="default"/>
                <w:color w:val="000000" w:themeColor="text1"/>
                <w:spacing w:val="-8"/>
                <w:sz w:val="26"/>
                <w:szCs w:val="26"/>
                <w:lang w:val="en-GB"/>
                <w14:textFill>
                  <w14:solidFill>
                    <w14:schemeClr w14:val="tx1"/>
                  </w14:solidFill>
                </w14:textFill>
              </w:rPr>
              <w:t>1</w:t>
            </w:r>
          </w:p>
        </w:tc>
      </w:tr>
      <w:tr w14:paraId="594B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A55565F">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IV</w:t>
            </w:r>
          </w:p>
        </w:tc>
        <w:tc>
          <w:tcPr>
            <w:tcW w:w="5673" w:type="dxa"/>
            <w:vAlign w:val="center"/>
          </w:tcPr>
          <w:p w14:paraId="56DF3DA5">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Mạng lưới tổ chức trung gian hỗ trợ ĐMST</w:t>
            </w:r>
          </w:p>
        </w:tc>
        <w:tc>
          <w:tcPr>
            <w:tcW w:w="1682" w:type="dxa"/>
            <w:vAlign w:val="center"/>
          </w:tcPr>
          <w:p w14:paraId="4D4CD98D">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1842E4AB">
            <w:pPr>
              <w:jc w:val="center"/>
              <w:rPr>
                <w:b/>
                <w:bCs/>
                <w:color w:val="000000" w:themeColor="text1"/>
                <w:spacing w:val="-8"/>
                <w:sz w:val="26"/>
                <w:szCs w:val="26"/>
                <w:lang w:val="vi-VN"/>
                <w14:textFill>
                  <w14:solidFill>
                    <w14:schemeClr w14:val="tx1"/>
                  </w14:solidFill>
                </w14:textFill>
              </w:rPr>
            </w:pPr>
          </w:p>
        </w:tc>
      </w:tr>
      <w:tr w14:paraId="6300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3779795F">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11</w:t>
            </w:r>
          </w:p>
        </w:tc>
        <w:tc>
          <w:tcPr>
            <w:tcW w:w="5673" w:type="dxa"/>
            <w:vAlign w:val="center"/>
          </w:tcPr>
          <w:p w14:paraId="4A31F3AC">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Tổ chức trung gian hỗ trợ ĐMST được hình thành hoặc thu hút tham gia hệ sinh thái</w:t>
            </w:r>
          </w:p>
        </w:tc>
        <w:tc>
          <w:tcPr>
            <w:tcW w:w="1682" w:type="dxa"/>
            <w:vAlign w:val="center"/>
          </w:tcPr>
          <w:p w14:paraId="795DF63B">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Tổ chức</w:t>
            </w:r>
          </w:p>
        </w:tc>
        <w:tc>
          <w:tcPr>
            <w:tcW w:w="1418" w:type="dxa"/>
            <w:vAlign w:val="center"/>
          </w:tcPr>
          <w:p w14:paraId="24BC3317">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03</w:t>
            </w:r>
          </w:p>
        </w:tc>
      </w:tr>
      <w:tr w14:paraId="5F1C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2F79D072">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12</w:t>
            </w:r>
          </w:p>
        </w:tc>
        <w:tc>
          <w:tcPr>
            <w:tcW w:w="5673" w:type="dxa"/>
            <w:vAlign w:val="center"/>
          </w:tcPr>
          <w:p w14:paraId="6F3E62C7">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Vườn ươm, accelerator, không gian làm việc chung được kết nối với Trung tâm ĐMST</w:t>
            </w:r>
          </w:p>
        </w:tc>
        <w:tc>
          <w:tcPr>
            <w:tcW w:w="1682" w:type="dxa"/>
            <w:vAlign w:val="center"/>
          </w:tcPr>
          <w:p w14:paraId="4760636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Tổ chức</w:t>
            </w:r>
          </w:p>
        </w:tc>
        <w:tc>
          <w:tcPr>
            <w:tcW w:w="1418" w:type="dxa"/>
            <w:vAlign w:val="center"/>
          </w:tcPr>
          <w:p w14:paraId="57D34575">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03</w:t>
            </w:r>
          </w:p>
        </w:tc>
      </w:tr>
      <w:tr w14:paraId="126B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616DA98B">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V</w:t>
            </w:r>
          </w:p>
        </w:tc>
        <w:tc>
          <w:tcPr>
            <w:tcW w:w="5673" w:type="dxa"/>
            <w:vAlign w:val="center"/>
          </w:tcPr>
          <w:p w14:paraId="470E2FBC">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Mạng lưới chuyên gia và đối tác</w:t>
            </w:r>
          </w:p>
        </w:tc>
        <w:tc>
          <w:tcPr>
            <w:tcW w:w="1682" w:type="dxa"/>
            <w:vAlign w:val="center"/>
          </w:tcPr>
          <w:p w14:paraId="064A0AE7">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6190FDF5">
            <w:pPr>
              <w:jc w:val="center"/>
              <w:rPr>
                <w:b/>
                <w:bCs/>
                <w:color w:val="000000" w:themeColor="text1"/>
                <w:spacing w:val="-8"/>
                <w:sz w:val="26"/>
                <w:szCs w:val="26"/>
                <w:lang w:val="vi-VN"/>
                <w14:textFill>
                  <w14:solidFill>
                    <w14:schemeClr w14:val="tx1"/>
                  </w14:solidFill>
                </w14:textFill>
              </w:rPr>
            </w:pPr>
          </w:p>
        </w:tc>
      </w:tr>
      <w:tr w14:paraId="32A3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42788AC2">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13</w:t>
            </w:r>
          </w:p>
        </w:tc>
        <w:tc>
          <w:tcPr>
            <w:tcW w:w="5673" w:type="dxa"/>
            <w:vAlign w:val="center"/>
          </w:tcPr>
          <w:p w14:paraId="2570112A">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Chuyên gia, cố vấn, mentor tham gia mạng lưới ĐMST tỉnh</w:t>
            </w:r>
          </w:p>
        </w:tc>
        <w:tc>
          <w:tcPr>
            <w:tcW w:w="1682" w:type="dxa"/>
            <w:vAlign w:val="center"/>
          </w:tcPr>
          <w:p w14:paraId="574F462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Người</w:t>
            </w:r>
          </w:p>
        </w:tc>
        <w:tc>
          <w:tcPr>
            <w:tcW w:w="1418" w:type="dxa"/>
            <w:vAlign w:val="center"/>
          </w:tcPr>
          <w:p w14:paraId="17444F52">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50</w:t>
            </w:r>
          </w:p>
        </w:tc>
      </w:tr>
      <w:tr w14:paraId="6C8B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4D128DD9">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14</w:t>
            </w:r>
          </w:p>
        </w:tc>
        <w:tc>
          <w:tcPr>
            <w:tcW w:w="5673" w:type="dxa"/>
            <w:vAlign w:val="center"/>
          </w:tcPr>
          <w:p w14:paraId="5BD8A070">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Thỏa thuận hợp tác với trường đại học, viện nghiên cứu, doanh nghiệp và tổ chức hỗ trợ ĐMST</w:t>
            </w:r>
          </w:p>
        </w:tc>
        <w:tc>
          <w:tcPr>
            <w:tcW w:w="1682" w:type="dxa"/>
            <w:vAlign w:val="center"/>
          </w:tcPr>
          <w:p w14:paraId="208FC407">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Thỏa thuận</w:t>
            </w:r>
          </w:p>
        </w:tc>
        <w:tc>
          <w:tcPr>
            <w:tcW w:w="1418" w:type="dxa"/>
            <w:vAlign w:val="center"/>
          </w:tcPr>
          <w:p w14:paraId="46600421">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20</w:t>
            </w:r>
          </w:p>
        </w:tc>
      </w:tr>
      <w:tr w14:paraId="227C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3430C44B">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VI</w:t>
            </w:r>
          </w:p>
        </w:tc>
        <w:tc>
          <w:tcPr>
            <w:tcW w:w="5673" w:type="dxa"/>
            <w:vAlign w:val="center"/>
          </w:tcPr>
          <w:p w14:paraId="4DE7434B">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Cơ chế hỗ trợ ĐMST</w:t>
            </w:r>
          </w:p>
        </w:tc>
        <w:tc>
          <w:tcPr>
            <w:tcW w:w="1682" w:type="dxa"/>
            <w:vAlign w:val="center"/>
          </w:tcPr>
          <w:p w14:paraId="3C0D6A1D">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69ACBA84">
            <w:pPr>
              <w:jc w:val="center"/>
              <w:rPr>
                <w:b/>
                <w:bCs/>
                <w:color w:val="000000" w:themeColor="text1"/>
                <w:spacing w:val="-8"/>
                <w:sz w:val="26"/>
                <w:szCs w:val="26"/>
                <w:lang w:val="vi-VN"/>
                <w14:textFill>
                  <w14:solidFill>
                    <w14:schemeClr w14:val="tx1"/>
                  </w14:solidFill>
                </w14:textFill>
              </w:rPr>
            </w:pPr>
          </w:p>
        </w:tc>
      </w:tr>
      <w:tr w14:paraId="72C4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5C6F749">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15</w:t>
            </w:r>
          </w:p>
        </w:tc>
        <w:tc>
          <w:tcPr>
            <w:tcW w:w="5673" w:type="dxa"/>
            <w:vAlign w:val="center"/>
          </w:tcPr>
          <w:p w14:paraId="0D09721B">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Cơ chế hỗ trợ đầu tư cho ĐMST và khởi nghiệp sáng tạo được nghiên cứu, đề xuất và ban hành</w:t>
            </w:r>
          </w:p>
        </w:tc>
        <w:tc>
          <w:tcPr>
            <w:tcW w:w="1682" w:type="dxa"/>
            <w:vAlign w:val="center"/>
          </w:tcPr>
          <w:p w14:paraId="3E6B2D55">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Cơ chế</w:t>
            </w:r>
          </w:p>
        </w:tc>
        <w:tc>
          <w:tcPr>
            <w:tcW w:w="1418" w:type="dxa"/>
            <w:vAlign w:val="center"/>
          </w:tcPr>
          <w:p w14:paraId="30B6E036">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238C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6BC9FCF9">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16</w:t>
            </w:r>
          </w:p>
        </w:tc>
        <w:tc>
          <w:tcPr>
            <w:tcW w:w="5673" w:type="dxa"/>
            <w:vAlign w:val="center"/>
          </w:tcPr>
          <w:p w14:paraId="3EFAD039">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Cơ chế sandbox hoặc cơ chế thử nghiệm có kiểm soát được xây dựng đối với một số lĩnh vực ưu tiên</w:t>
            </w:r>
          </w:p>
        </w:tc>
        <w:tc>
          <w:tcPr>
            <w:tcW w:w="1682" w:type="dxa"/>
            <w:vAlign w:val="center"/>
          </w:tcPr>
          <w:p w14:paraId="3712E69C">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Cơ chế</w:t>
            </w:r>
          </w:p>
        </w:tc>
        <w:tc>
          <w:tcPr>
            <w:tcW w:w="1418" w:type="dxa"/>
            <w:vAlign w:val="center"/>
          </w:tcPr>
          <w:p w14:paraId="6B25C895">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6732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728B1CB1">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VII</w:t>
            </w:r>
          </w:p>
        </w:tc>
        <w:tc>
          <w:tcPr>
            <w:tcW w:w="5673" w:type="dxa"/>
            <w:vAlign w:val="center"/>
          </w:tcPr>
          <w:p w14:paraId="5DD8AE3B">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Hoạt động kết nối hệ sinh thái</w:t>
            </w:r>
          </w:p>
        </w:tc>
        <w:tc>
          <w:tcPr>
            <w:tcW w:w="1682" w:type="dxa"/>
            <w:vAlign w:val="center"/>
          </w:tcPr>
          <w:p w14:paraId="5CA0F7E8">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26535D65">
            <w:pPr>
              <w:jc w:val="center"/>
              <w:rPr>
                <w:b/>
                <w:bCs/>
                <w:color w:val="000000" w:themeColor="text1"/>
                <w:spacing w:val="-8"/>
                <w:sz w:val="26"/>
                <w:szCs w:val="26"/>
                <w:lang w:val="vi-VN"/>
                <w14:textFill>
                  <w14:solidFill>
                    <w14:schemeClr w14:val="tx1"/>
                  </w14:solidFill>
                </w14:textFill>
              </w:rPr>
            </w:pPr>
          </w:p>
        </w:tc>
      </w:tr>
      <w:tr w14:paraId="0B19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CDFFCFC">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17</w:t>
            </w:r>
          </w:p>
        </w:tc>
        <w:tc>
          <w:tcPr>
            <w:tcW w:w="5673" w:type="dxa"/>
            <w:vAlign w:val="center"/>
          </w:tcPr>
          <w:p w14:paraId="57F90CC3">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Chương trình kết nối doanh nghiệp – viện trường – chuyên gia được tổ chức</w:t>
            </w:r>
          </w:p>
        </w:tc>
        <w:tc>
          <w:tcPr>
            <w:tcW w:w="1682" w:type="dxa"/>
            <w:vAlign w:val="center"/>
          </w:tcPr>
          <w:p w14:paraId="086B7E0B">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Chương trình</w:t>
            </w:r>
          </w:p>
        </w:tc>
        <w:tc>
          <w:tcPr>
            <w:tcW w:w="1418" w:type="dxa"/>
            <w:vAlign w:val="center"/>
          </w:tcPr>
          <w:p w14:paraId="1ECF2060">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10</w:t>
            </w:r>
          </w:p>
        </w:tc>
      </w:tr>
      <w:tr w14:paraId="0275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74448E90">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18</w:t>
            </w:r>
          </w:p>
        </w:tc>
        <w:tc>
          <w:tcPr>
            <w:tcW w:w="5673" w:type="dxa"/>
            <w:vAlign w:val="center"/>
          </w:tcPr>
          <w:p w14:paraId="051E2367">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Sự kiện ĐMST, khởi nghiệp</w:t>
            </w:r>
            <w:r>
              <w:rPr>
                <w:rFonts w:hint="default" w:eastAsia="SimSun"/>
                <w:color w:val="000000" w:themeColor="text1"/>
                <w:sz w:val="26"/>
                <w:szCs w:val="26"/>
                <w:lang w:val="en-GB" w:eastAsia="zh-CN" w:bidi="ar"/>
                <w14:textFill>
                  <w14:solidFill>
                    <w14:schemeClr w14:val="tx1"/>
                  </w14:solidFill>
                </w14:textFill>
              </w:rPr>
              <w:t xml:space="preserve"> sáng tạo</w:t>
            </w:r>
            <w:r>
              <w:rPr>
                <w:rFonts w:eastAsia="SimSun"/>
                <w:color w:val="000000" w:themeColor="text1"/>
                <w:sz w:val="26"/>
                <w:szCs w:val="26"/>
                <w:lang w:val="vi-VN" w:eastAsia="zh-CN" w:bidi="ar"/>
                <w14:textFill>
                  <w14:solidFill>
                    <w14:schemeClr w14:val="tx1"/>
                  </w14:solidFill>
                </w14:textFill>
              </w:rPr>
              <w:t>, chuyển giao công nghệ cấp tỉnh</w:t>
            </w:r>
          </w:p>
        </w:tc>
        <w:tc>
          <w:tcPr>
            <w:tcW w:w="1682" w:type="dxa"/>
            <w:vAlign w:val="center"/>
          </w:tcPr>
          <w:p w14:paraId="7040C7E9">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Sự kiện</w:t>
            </w:r>
          </w:p>
        </w:tc>
        <w:tc>
          <w:tcPr>
            <w:tcW w:w="1418" w:type="dxa"/>
            <w:vAlign w:val="center"/>
          </w:tcPr>
          <w:p w14:paraId="004216E8">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05</w:t>
            </w:r>
          </w:p>
        </w:tc>
      </w:tr>
      <w:tr w14:paraId="1454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6DE03468">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19</w:t>
            </w:r>
          </w:p>
        </w:tc>
        <w:tc>
          <w:tcPr>
            <w:tcW w:w="5673" w:type="dxa"/>
            <w:vAlign w:val="center"/>
          </w:tcPr>
          <w:p w14:paraId="4D477B78">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Doanh nghiệp được hỗ trợ tham gia các hoạt động ĐMST, chuyển đổi số hoặc kết nối công nghệ</w:t>
            </w:r>
          </w:p>
        </w:tc>
        <w:tc>
          <w:tcPr>
            <w:tcW w:w="1682" w:type="dxa"/>
            <w:vAlign w:val="center"/>
          </w:tcPr>
          <w:p w14:paraId="4A58949E">
            <w:pPr>
              <w:jc w:val="center"/>
              <w:rPr>
                <w:b/>
                <w:bCs/>
                <w:color w:val="000000" w:themeColor="text1"/>
                <w:spacing w:val="-8"/>
                <w:sz w:val="26"/>
                <w:szCs w:val="26"/>
                <w:lang w:val="en-US"/>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Doanh nghiệp</w:t>
            </w:r>
          </w:p>
        </w:tc>
        <w:tc>
          <w:tcPr>
            <w:tcW w:w="1418" w:type="dxa"/>
            <w:vAlign w:val="center"/>
          </w:tcPr>
          <w:p w14:paraId="434A4C10">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xml:space="preserve">≥ </w:t>
            </w:r>
            <w:r>
              <w:rPr>
                <w:rFonts w:hint="default" w:eastAsia="SimSun"/>
                <w:color w:val="000000" w:themeColor="text1"/>
                <w:sz w:val="26"/>
                <w:szCs w:val="26"/>
                <w:lang w:val="en-GB" w:eastAsia="zh-CN" w:bidi="ar"/>
                <w14:textFill>
                  <w14:solidFill>
                    <w14:schemeClr w14:val="tx1"/>
                  </w14:solidFill>
                </w14:textFill>
              </w:rPr>
              <w:t>5</w:t>
            </w:r>
            <w:r>
              <w:rPr>
                <w:rFonts w:eastAsia="SimSun"/>
                <w:color w:val="000000" w:themeColor="text1"/>
                <w:sz w:val="26"/>
                <w:szCs w:val="26"/>
                <w:lang w:val="en-US" w:eastAsia="zh-CN" w:bidi="ar"/>
                <w14:textFill>
                  <w14:solidFill>
                    <w14:schemeClr w14:val="tx1"/>
                  </w14:solidFill>
                </w14:textFill>
              </w:rPr>
              <w:t>0</w:t>
            </w:r>
          </w:p>
        </w:tc>
      </w:tr>
    </w:tbl>
    <w:p w14:paraId="153F3592">
      <w:pPr>
        <w:spacing w:before="40" w:after="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w:t>
      </w:r>
    </w:p>
    <w:p w14:paraId="34F6CE06">
      <w:pPr>
        <w:pStyle w:val="3"/>
        <w:rPr>
          <w:b/>
          <w:bCs/>
          <w:color w:val="000000" w:themeColor="text1"/>
          <w:spacing w:val="-4"/>
          <w14:textFill>
            <w14:solidFill>
              <w14:schemeClr w14:val="tx1"/>
            </w14:solidFill>
          </w14:textFill>
        </w:rPr>
      </w:pPr>
      <w:bookmarkStart w:id="117" w:name="_Toc233183706"/>
      <w:r>
        <w:rPr>
          <w:b/>
          <w:bCs/>
          <w:color w:val="000000" w:themeColor="text1"/>
          <w:spacing w:val="-4"/>
          <w14:textFill>
            <w14:solidFill>
              <w14:schemeClr w14:val="tx1"/>
            </w14:solidFill>
          </w14:textFill>
        </w:rPr>
        <w:t>II. GIAI ĐOẠN 2 (2027–2028): Phát triển các trung tâm ĐMST chuyên ngành</w:t>
      </w:r>
      <w:bookmarkEnd w:id="117"/>
    </w:p>
    <w:p w14:paraId="2CBEA9CF">
      <w:pPr>
        <w:pStyle w:val="4"/>
        <w:rPr>
          <w:color w:val="000000" w:themeColor="text1"/>
          <w14:textFill>
            <w14:solidFill>
              <w14:schemeClr w14:val="tx1"/>
            </w14:solidFill>
          </w14:textFill>
        </w:rPr>
      </w:pPr>
      <w:bookmarkStart w:id="118" w:name="_Toc233183707"/>
      <w:r>
        <w:rPr>
          <w:color w:val="000000" w:themeColor="text1"/>
          <w14:textFill>
            <w14:solidFill>
              <w14:schemeClr w14:val="tx1"/>
            </w14:solidFill>
          </w14:textFill>
        </w:rPr>
        <w:t>2.1. Nhiệm vụ trọng tâm:</w:t>
      </w:r>
      <w:bookmarkEnd w:id="118"/>
      <w:r>
        <w:rPr>
          <w:color w:val="000000" w:themeColor="text1"/>
          <w14:textFill>
            <w14:solidFill>
              <w14:schemeClr w14:val="tx1"/>
            </w14:solidFill>
          </w14:textFill>
        </w:rPr>
        <w:t xml:space="preserve"> </w:t>
      </w:r>
    </w:p>
    <w:p w14:paraId="7B4A878E">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Tập trung phát triển các trung tâm ĐMST chuyên ngành gắn với lợi thế cạnh tranh của tỉnh, thúc đẩy nghiên cứu ứng dụng, chuyển giao công nghệ và phát triển doanh nghiệp ĐMST.</w:t>
      </w:r>
    </w:p>
    <w:p w14:paraId="753F4872">
      <w:pPr>
        <w:pStyle w:val="4"/>
        <w:rPr>
          <w:color w:val="000000" w:themeColor="text1"/>
          <w14:textFill>
            <w14:solidFill>
              <w14:schemeClr w14:val="tx1"/>
            </w14:solidFill>
          </w14:textFill>
        </w:rPr>
      </w:pPr>
      <w:bookmarkStart w:id="119" w:name="_Toc233183708"/>
      <w:r>
        <w:rPr>
          <w:color w:val="000000" w:themeColor="text1"/>
          <w14:textFill>
            <w14:solidFill>
              <w14:schemeClr w14:val="tx1"/>
            </w14:solidFill>
          </w14:textFill>
        </w:rPr>
        <w:t>2.2. Các kết quả cần hoàn thành</w:t>
      </w:r>
      <w:bookmarkEnd w:id="119"/>
    </w:p>
    <w:p w14:paraId="17CB32FB">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(1) Hình thành Trung tâm ĐMST AI, Điện tử - Bán dẫn, Robot và Công nghệ cao</w:t>
      </w:r>
    </w:p>
    <w:p w14:paraId="696F7A82">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Phát triển trung tâm ĐMST chuyên ngành gắn với Khu Công nghệ cao Hà Nam, Khu Đại học Nam Cao và các khu công nghiệp công nghệ cao của tỉnh; tập trung vào các lĩnh vực AI, điện tử, bán dẫn, robot, tự động hóa và sản xuất thông minh.</w:t>
      </w:r>
    </w:p>
    <w:p w14:paraId="74BBB752">
      <w:pPr>
        <w:spacing w:before="120" w:line="312" w:lineRule="auto"/>
        <w:ind w:firstLine="720"/>
        <w:rPr>
          <w:rFonts w:hint="default"/>
          <w:color w:val="000000" w:themeColor="text1"/>
          <w:sz w:val="26"/>
          <w:szCs w:val="26"/>
          <w:lang w:val="en-GB"/>
          <w14:textFill>
            <w14:solidFill>
              <w14:schemeClr w14:val="tx1"/>
            </w14:solidFill>
          </w14:textFill>
        </w:rPr>
      </w:pPr>
      <w:r>
        <w:rPr>
          <w:color w:val="000000" w:themeColor="text1"/>
          <w:sz w:val="26"/>
          <w:szCs w:val="26"/>
          <w:lang w:val="vi-VN"/>
          <w14:textFill>
            <w14:solidFill>
              <w14:schemeClr w14:val="tx1"/>
            </w14:solidFill>
          </w14:textFill>
        </w:rPr>
        <w:t>(2) Hình thành Trung tâm ĐMST Khoa học sự sống</w:t>
      </w:r>
      <w:r>
        <w:rPr>
          <w:rFonts w:hint="default"/>
          <w:color w:val="000000" w:themeColor="text1"/>
          <w:sz w:val="26"/>
          <w:szCs w:val="26"/>
          <w:lang w:val="en-GB"/>
          <w14:textFill>
            <w14:solidFill>
              <w14:schemeClr w14:val="tx1"/>
            </w14:solidFill>
          </w14:textFill>
        </w:rPr>
        <w:t>, công nghệ s</w:t>
      </w:r>
      <w:r>
        <w:rPr>
          <w:color w:val="000000" w:themeColor="text1"/>
          <w:sz w:val="26"/>
          <w:szCs w:val="26"/>
          <w:lang w:val="vi-VN"/>
          <w14:textFill>
            <w14:solidFill>
              <w14:schemeClr w14:val="tx1"/>
            </w14:solidFill>
          </w14:textFill>
        </w:rPr>
        <w:t>inh học</w:t>
      </w:r>
      <w:r>
        <w:rPr>
          <w:rFonts w:hint="default"/>
          <w:color w:val="000000" w:themeColor="text1"/>
          <w:sz w:val="26"/>
          <w:szCs w:val="26"/>
          <w:lang w:val="en-GB"/>
          <w14:textFill>
            <w14:solidFill>
              <w14:schemeClr w14:val="tx1"/>
            </w14:solidFill>
          </w14:textFill>
        </w:rPr>
        <w:t xml:space="preserve"> và dược phẩm - dược liệu</w:t>
      </w:r>
    </w:p>
    <w:p w14:paraId="6074CCC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Tập trung nghiên cứu ứng dụng, chuyển giao công nghệ và hỗ trợ phát triển doanh nghiệp trong các lĩnh vực công nghệ sinh học, nông nghiệp công nghệ cao, y sinh và khoa học sự sống.</w:t>
      </w:r>
    </w:p>
    <w:p w14:paraId="7BE1089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(3) Hình thành các chương trình hỗ trợ doanh nghiệp ĐMST theo ngành ưu tiên</w:t>
      </w:r>
    </w:p>
    <w:p w14:paraId="0312A2C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Phát triển các chương trình hỗ trợ nghiên cứu ứng dụng, đổi mới công nghệ, chuyển đổi số, thương mại hóa công nghệ và tham gia chuỗi giá trị cho doanh nghiệp.</w:t>
      </w:r>
    </w:p>
    <w:p w14:paraId="7CFC8389">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(4) Mở rộng mạng lưới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và các tổ chức trung gian</w:t>
      </w:r>
    </w:p>
    <w:p w14:paraId="7E4F22A4">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Tiếp tục phát triển mạng lưới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và các tổ chức hỗ trợ ĐMST tại các khu công nghiệp, trường đại học, trung tâm dịch vụ và cộng đồng doanh nghiệp.</w:t>
      </w:r>
    </w:p>
    <w:p w14:paraId="3CF0F8B8">
      <w:pPr>
        <w:pStyle w:val="4"/>
        <w:rPr>
          <w:color w:val="000000" w:themeColor="text1"/>
          <w14:textFill>
            <w14:solidFill>
              <w14:schemeClr w14:val="tx1"/>
            </w14:solidFill>
          </w14:textFill>
        </w:rPr>
      </w:pPr>
      <w:bookmarkStart w:id="120" w:name="_Toc233183709"/>
      <w:r>
        <w:rPr>
          <w:color w:val="000000" w:themeColor="text1"/>
          <w14:textFill>
            <w14:solidFill>
              <w14:schemeClr w14:val="tx1"/>
            </w14:solidFill>
          </w14:textFill>
        </w:rPr>
        <w:t>2.3. Chỉ tiêu và mốc hoàn thành giai đoạn 2</w:t>
      </w:r>
      <w:bookmarkEnd w:id="120"/>
    </w:p>
    <w:p w14:paraId="03829087">
      <w:pPr>
        <w:spacing w:before="120" w:line="312" w:lineRule="auto"/>
        <w:jc w:val="center"/>
        <w:rPr>
          <w:b/>
          <w:bCs/>
          <w:color w:val="000000" w:themeColor="text1"/>
          <w:spacing w:val="-8"/>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r>
        <w:rPr>
          <w:b/>
          <w:bCs/>
          <w:color w:val="000000" w:themeColor="text1"/>
          <w:spacing w:val="-8"/>
          <w:sz w:val="26"/>
          <w:szCs w:val="26"/>
          <w:lang w:val="vi-VN"/>
          <w14:textFill>
            <w14:solidFill>
              <w14:schemeClr w14:val="tx1"/>
            </w14:solidFill>
          </w14:textFill>
        </w:rPr>
        <w:t>Bảng 5. Chỉ tiêu và mục tiêu của giai đoạn 2</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5673"/>
        <w:gridCol w:w="1682"/>
        <w:gridCol w:w="1418"/>
      </w:tblGrid>
      <w:tr w14:paraId="43B0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42EF2AD0">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STT</w:t>
            </w:r>
          </w:p>
        </w:tc>
        <w:tc>
          <w:tcPr>
            <w:tcW w:w="5673" w:type="dxa"/>
            <w:vAlign w:val="center"/>
          </w:tcPr>
          <w:p w14:paraId="6C4A4800">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Chỉ tiêu/Kết quả cần đạt</w:t>
            </w:r>
          </w:p>
        </w:tc>
        <w:tc>
          <w:tcPr>
            <w:tcW w:w="1682" w:type="dxa"/>
            <w:vAlign w:val="center"/>
          </w:tcPr>
          <w:p w14:paraId="78B90B0D">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Đơn vị tính</w:t>
            </w:r>
          </w:p>
        </w:tc>
        <w:tc>
          <w:tcPr>
            <w:tcW w:w="1418" w:type="dxa"/>
            <w:vAlign w:val="center"/>
          </w:tcPr>
          <w:p w14:paraId="6DE9F6DE">
            <w:pPr>
              <w:jc w:val="center"/>
              <w:rPr>
                <w:b/>
                <w:bCs/>
                <w:color w:val="000000" w:themeColor="text1"/>
                <w:spacing w:val="-8"/>
                <w:sz w:val="26"/>
                <w:szCs w:val="26"/>
                <w:lang w:val="vi-VN"/>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Mức hoàn thành đến năm 2029</w:t>
            </w:r>
          </w:p>
        </w:tc>
      </w:tr>
      <w:tr w14:paraId="12BD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691CA5AF">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w:t>
            </w:r>
          </w:p>
        </w:tc>
        <w:tc>
          <w:tcPr>
            <w:tcW w:w="5673" w:type="dxa"/>
            <w:vAlign w:val="center"/>
          </w:tcPr>
          <w:p w14:paraId="0B0D1460">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Phát triển các trung tâm ĐMST chuyên ngành</w:t>
            </w:r>
          </w:p>
        </w:tc>
        <w:tc>
          <w:tcPr>
            <w:tcW w:w="1682" w:type="dxa"/>
            <w:vAlign w:val="center"/>
          </w:tcPr>
          <w:p w14:paraId="0FD36CA3">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3CFB60D0">
            <w:pPr>
              <w:jc w:val="center"/>
              <w:rPr>
                <w:b/>
                <w:bCs/>
                <w:color w:val="000000" w:themeColor="text1"/>
                <w:spacing w:val="-8"/>
                <w:sz w:val="26"/>
                <w:szCs w:val="26"/>
                <w:lang w:val="vi-VN"/>
                <w14:textFill>
                  <w14:solidFill>
                    <w14:schemeClr w14:val="tx1"/>
                  </w14:solidFill>
                </w14:textFill>
              </w:rPr>
            </w:pPr>
          </w:p>
        </w:tc>
      </w:tr>
      <w:tr w14:paraId="0119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8CEC0D6">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p>
        </w:tc>
        <w:tc>
          <w:tcPr>
            <w:tcW w:w="5673" w:type="dxa"/>
            <w:vAlign w:val="center"/>
          </w:tcPr>
          <w:p w14:paraId="4EC88E35">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Trung tâm ĐMST AI, Điện tử - Bán dẫn, Robot và Công nghệ cao được thành lập và vận hành</w:t>
            </w:r>
          </w:p>
        </w:tc>
        <w:tc>
          <w:tcPr>
            <w:tcW w:w="1682" w:type="dxa"/>
            <w:vAlign w:val="center"/>
          </w:tcPr>
          <w:p w14:paraId="7F04777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Trung tâm</w:t>
            </w:r>
          </w:p>
        </w:tc>
        <w:tc>
          <w:tcPr>
            <w:tcW w:w="1418" w:type="dxa"/>
            <w:vAlign w:val="center"/>
          </w:tcPr>
          <w:p w14:paraId="696920B8">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5F0D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3E0A6D91">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w:t>
            </w:r>
          </w:p>
        </w:tc>
        <w:tc>
          <w:tcPr>
            <w:tcW w:w="5673" w:type="dxa"/>
            <w:vAlign w:val="center"/>
          </w:tcPr>
          <w:p w14:paraId="311A3084">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Trung tâm ĐMST Du lịch - công nghiệp văn hóa được thành lập và vận hành</w:t>
            </w:r>
          </w:p>
        </w:tc>
        <w:tc>
          <w:tcPr>
            <w:tcW w:w="1682" w:type="dxa"/>
            <w:vAlign w:val="center"/>
          </w:tcPr>
          <w:p w14:paraId="54C3F8EA">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Trung tâm</w:t>
            </w:r>
          </w:p>
        </w:tc>
        <w:tc>
          <w:tcPr>
            <w:tcW w:w="1418" w:type="dxa"/>
            <w:vAlign w:val="center"/>
          </w:tcPr>
          <w:p w14:paraId="7D31155A">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664F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341295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3</w:t>
            </w:r>
          </w:p>
        </w:tc>
        <w:tc>
          <w:tcPr>
            <w:tcW w:w="5673" w:type="dxa"/>
            <w:vAlign w:val="center"/>
          </w:tcPr>
          <w:p w14:paraId="45DB13CB">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Trung tâm ĐMST Khoa học sự sống</w:t>
            </w:r>
            <w:r>
              <w:rPr>
                <w:rFonts w:hint="default" w:eastAsia="SimSun"/>
                <w:color w:val="000000" w:themeColor="text1"/>
                <w:sz w:val="26"/>
                <w:szCs w:val="26"/>
                <w:lang w:val="en-GB" w:eastAsia="zh-CN" w:bidi="ar"/>
                <w14:textFill>
                  <w14:solidFill>
                    <w14:schemeClr w14:val="tx1"/>
                  </w14:solidFill>
                </w14:textFill>
              </w:rPr>
              <w:t>, công nghệ s</w:t>
            </w:r>
            <w:r>
              <w:rPr>
                <w:rFonts w:eastAsia="SimSun"/>
                <w:color w:val="000000" w:themeColor="text1"/>
                <w:sz w:val="26"/>
                <w:szCs w:val="26"/>
                <w:lang w:val="vi-VN" w:eastAsia="zh-CN" w:bidi="ar"/>
                <w14:textFill>
                  <w14:solidFill>
                    <w14:schemeClr w14:val="tx1"/>
                  </w14:solidFill>
                </w14:textFill>
              </w:rPr>
              <w:t>inh học</w:t>
            </w:r>
            <w:r>
              <w:rPr>
                <w:rFonts w:hint="default" w:eastAsia="SimSun"/>
                <w:color w:val="000000" w:themeColor="text1"/>
                <w:sz w:val="26"/>
                <w:szCs w:val="26"/>
                <w:lang w:val="en-GB" w:eastAsia="zh-CN" w:bidi="ar"/>
                <w14:textFill>
                  <w14:solidFill>
                    <w14:schemeClr w14:val="tx1"/>
                  </w14:solidFill>
                </w14:textFill>
              </w:rPr>
              <w:t xml:space="preserve"> và dược phẩm - dược liệu</w:t>
            </w:r>
            <w:r>
              <w:rPr>
                <w:rFonts w:eastAsia="SimSun"/>
                <w:color w:val="000000" w:themeColor="text1"/>
                <w:sz w:val="26"/>
                <w:szCs w:val="26"/>
                <w:lang w:val="vi-VN" w:eastAsia="zh-CN" w:bidi="ar"/>
                <w14:textFill>
                  <w14:solidFill>
                    <w14:schemeClr w14:val="tx1"/>
                  </w14:solidFill>
                </w14:textFill>
              </w:rPr>
              <w:t xml:space="preserve"> được thành lập và vận hành</w:t>
            </w:r>
          </w:p>
        </w:tc>
        <w:tc>
          <w:tcPr>
            <w:tcW w:w="1682" w:type="dxa"/>
            <w:vAlign w:val="center"/>
          </w:tcPr>
          <w:p w14:paraId="009326E5">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Trung tâm</w:t>
            </w:r>
          </w:p>
        </w:tc>
        <w:tc>
          <w:tcPr>
            <w:tcW w:w="1418" w:type="dxa"/>
            <w:vAlign w:val="center"/>
          </w:tcPr>
          <w:p w14:paraId="2847D1F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174F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536E8FD1">
            <w:pPr>
              <w:jc w:val="center"/>
              <w:rPr>
                <w:rFonts w:hint="default"/>
                <w:b w:val="0"/>
                <w:bCs w:val="0"/>
                <w:color w:val="000000" w:themeColor="text1"/>
                <w:spacing w:val="-8"/>
                <w:sz w:val="26"/>
                <w:szCs w:val="26"/>
                <w:lang w:val="en-GB"/>
                <w14:textFill>
                  <w14:solidFill>
                    <w14:schemeClr w14:val="tx1"/>
                  </w14:solidFill>
                </w14:textFill>
              </w:rPr>
            </w:pPr>
            <w:r>
              <w:rPr>
                <w:rFonts w:hint="default"/>
                <w:b w:val="0"/>
                <w:bCs w:val="0"/>
                <w:color w:val="000000" w:themeColor="text1"/>
                <w:spacing w:val="-8"/>
                <w:sz w:val="26"/>
                <w:szCs w:val="26"/>
                <w:lang w:val="en-GB"/>
                <w14:textFill>
                  <w14:solidFill>
                    <w14:schemeClr w14:val="tx1"/>
                  </w14:solidFill>
                </w14:textFill>
              </w:rPr>
              <w:t>4</w:t>
            </w:r>
          </w:p>
        </w:tc>
        <w:tc>
          <w:tcPr>
            <w:tcW w:w="5673" w:type="dxa"/>
            <w:vAlign w:val="center"/>
          </w:tcPr>
          <w:p w14:paraId="539038D7">
            <w:pPr>
              <w:jc w:val="left"/>
              <w:rPr>
                <w:b w:val="0"/>
                <w:bCs w:val="0"/>
                <w:color w:val="000000" w:themeColor="text1"/>
                <w:spacing w:val="-8"/>
                <w:sz w:val="26"/>
                <w:szCs w:val="26"/>
                <w:lang w:val="vi-VN"/>
                <w14:textFill>
                  <w14:solidFill>
                    <w14:schemeClr w14:val="tx1"/>
                  </w14:solidFill>
                </w14:textFill>
              </w:rPr>
            </w:pPr>
            <w:r>
              <w:rPr>
                <w:rFonts w:eastAsia="SimSun"/>
                <w:b w:val="0"/>
                <w:bCs w:val="0"/>
                <w:color w:val="000000" w:themeColor="text1"/>
                <w:sz w:val="26"/>
                <w:szCs w:val="26"/>
                <w:lang w:val="vi-VN" w:eastAsia="zh-CN" w:bidi="ar"/>
                <w14:textFill>
                  <w14:solidFill>
                    <w14:schemeClr w14:val="tx1"/>
                  </w14:solidFill>
                </w14:textFill>
              </w:rPr>
              <w:t>Chương trình nghiên cứu ứng dụng, thử nghiệm công nghệ và chuyển giao công nghệ được triển khai tại các trung tâm chuyên ngành</w:t>
            </w:r>
          </w:p>
        </w:tc>
        <w:tc>
          <w:tcPr>
            <w:tcW w:w="1682" w:type="dxa"/>
            <w:vAlign w:val="center"/>
          </w:tcPr>
          <w:p w14:paraId="5EE169DE">
            <w:pPr>
              <w:jc w:val="center"/>
              <w:rPr>
                <w:b w:val="0"/>
                <w:bCs w:val="0"/>
                <w:color w:val="000000" w:themeColor="text1"/>
                <w:spacing w:val="-8"/>
                <w:sz w:val="26"/>
                <w:szCs w:val="26"/>
                <w:lang w:val="vi-VN"/>
                <w14:textFill>
                  <w14:solidFill>
                    <w14:schemeClr w14:val="tx1"/>
                  </w14:solidFill>
                </w14:textFill>
              </w:rPr>
            </w:pPr>
            <w:r>
              <w:rPr>
                <w:rFonts w:eastAsia="SimSun"/>
                <w:b w:val="0"/>
                <w:bCs w:val="0"/>
                <w:color w:val="000000" w:themeColor="text1"/>
                <w:sz w:val="26"/>
                <w:szCs w:val="26"/>
                <w:lang w:val="en-US" w:eastAsia="zh-CN" w:bidi="ar"/>
                <w14:textFill>
                  <w14:solidFill>
                    <w14:schemeClr w14:val="tx1"/>
                  </w14:solidFill>
                </w14:textFill>
              </w:rPr>
              <w:t>Chương trình</w:t>
            </w:r>
          </w:p>
        </w:tc>
        <w:tc>
          <w:tcPr>
            <w:tcW w:w="1418" w:type="dxa"/>
            <w:vAlign w:val="center"/>
          </w:tcPr>
          <w:p w14:paraId="08A75AB8">
            <w:pPr>
              <w:jc w:val="center"/>
              <w:rPr>
                <w:b w:val="0"/>
                <w:bCs w:val="0"/>
                <w:color w:val="000000" w:themeColor="text1"/>
                <w:spacing w:val="-8"/>
                <w:sz w:val="26"/>
                <w:szCs w:val="26"/>
                <w:lang w:val="vi-VN"/>
                <w14:textFill>
                  <w14:solidFill>
                    <w14:schemeClr w14:val="tx1"/>
                  </w14:solidFill>
                </w14:textFill>
              </w:rPr>
            </w:pPr>
            <w:r>
              <w:rPr>
                <w:rFonts w:eastAsia="SimSun"/>
                <w:b w:val="0"/>
                <w:bCs w:val="0"/>
                <w:color w:val="000000" w:themeColor="text1"/>
                <w:sz w:val="26"/>
                <w:szCs w:val="26"/>
                <w:lang w:val="en-US" w:eastAsia="zh-CN" w:bidi="ar"/>
                <w14:textFill>
                  <w14:solidFill>
                    <w14:schemeClr w14:val="tx1"/>
                  </w14:solidFill>
                </w14:textFill>
              </w:rPr>
              <w:t>≥ 20</w:t>
            </w:r>
          </w:p>
        </w:tc>
      </w:tr>
      <w:tr w14:paraId="220F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72830D1F">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II</w:t>
            </w:r>
          </w:p>
        </w:tc>
        <w:tc>
          <w:tcPr>
            <w:tcW w:w="5673" w:type="dxa"/>
            <w:vAlign w:val="center"/>
          </w:tcPr>
          <w:p w14:paraId="289B53E7">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Liên kết viện – trường – doanh nghiệp</w:t>
            </w:r>
          </w:p>
        </w:tc>
        <w:tc>
          <w:tcPr>
            <w:tcW w:w="1682" w:type="dxa"/>
            <w:vAlign w:val="center"/>
          </w:tcPr>
          <w:p w14:paraId="69EE7F23">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7D9040B8">
            <w:pPr>
              <w:jc w:val="center"/>
              <w:rPr>
                <w:b/>
                <w:bCs/>
                <w:color w:val="000000" w:themeColor="text1"/>
                <w:spacing w:val="-8"/>
                <w:sz w:val="26"/>
                <w:szCs w:val="26"/>
                <w:lang w:val="vi-VN"/>
                <w14:textFill>
                  <w14:solidFill>
                    <w14:schemeClr w14:val="tx1"/>
                  </w14:solidFill>
                </w14:textFill>
              </w:rPr>
            </w:pPr>
          </w:p>
        </w:tc>
      </w:tr>
      <w:tr w14:paraId="6B4A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55F7AFE5">
            <w:pPr>
              <w:jc w:val="center"/>
              <w:rPr>
                <w:rFonts w:hint="default"/>
                <w:b/>
                <w:bCs/>
                <w:color w:val="000000" w:themeColor="text1"/>
                <w:spacing w:val="-8"/>
                <w:sz w:val="26"/>
                <w:szCs w:val="26"/>
                <w:lang w:val="en-GB"/>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5</w:t>
            </w:r>
          </w:p>
        </w:tc>
        <w:tc>
          <w:tcPr>
            <w:tcW w:w="5673" w:type="dxa"/>
            <w:vAlign w:val="center"/>
          </w:tcPr>
          <w:p w14:paraId="1A23D33D">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Mạng lưới liên kết doanh nghiệp – cơ sở giáo dục – tổ chức KH&amp;CN được hình thành và vận hành</w:t>
            </w:r>
          </w:p>
        </w:tc>
        <w:tc>
          <w:tcPr>
            <w:tcW w:w="1682" w:type="dxa"/>
            <w:vAlign w:val="center"/>
          </w:tcPr>
          <w:p w14:paraId="6B6B85FA">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Mạng lưới</w:t>
            </w:r>
          </w:p>
        </w:tc>
        <w:tc>
          <w:tcPr>
            <w:tcW w:w="1418" w:type="dxa"/>
            <w:vAlign w:val="center"/>
          </w:tcPr>
          <w:p w14:paraId="16FFB837">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7E56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31C5C0A8">
            <w:pPr>
              <w:jc w:val="center"/>
              <w:rPr>
                <w:rFonts w:hint="default"/>
                <w:b w:val="0"/>
                <w:bCs w:val="0"/>
                <w:color w:val="000000" w:themeColor="text1"/>
                <w:spacing w:val="-8"/>
                <w:sz w:val="26"/>
                <w:szCs w:val="26"/>
                <w:lang w:val="en-GB"/>
                <w14:textFill>
                  <w14:solidFill>
                    <w14:schemeClr w14:val="tx1"/>
                  </w14:solidFill>
                </w14:textFill>
              </w:rPr>
            </w:pPr>
            <w:r>
              <w:rPr>
                <w:rFonts w:hint="default"/>
                <w:b w:val="0"/>
                <w:bCs w:val="0"/>
                <w:color w:val="000000" w:themeColor="text1"/>
                <w:spacing w:val="-8"/>
                <w:sz w:val="26"/>
                <w:szCs w:val="26"/>
                <w:lang w:val="en-GB"/>
                <w14:textFill>
                  <w14:solidFill>
                    <w14:schemeClr w14:val="tx1"/>
                  </w14:solidFill>
                </w14:textFill>
              </w:rPr>
              <w:t>6</w:t>
            </w:r>
          </w:p>
        </w:tc>
        <w:tc>
          <w:tcPr>
            <w:tcW w:w="5673" w:type="dxa"/>
            <w:vAlign w:val="center"/>
          </w:tcPr>
          <w:p w14:paraId="0A7CB8F0">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Thỏa thuận hợp tác nghiên cứu, đào tạo và chuyển giao công nghệ được ký kết</w:t>
            </w:r>
          </w:p>
        </w:tc>
        <w:tc>
          <w:tcPr>
            <w:tcW w:w="1682" w:type="dxa"/>
            <w:vAlign w:val="center"/>
          </w:tcPr>
          <w:p w14:paraId="6DCF82BC">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Thỏa thuận</w:t>
            </w:r>
          </w:p>
        </w:tc>
        <w:tc>
          <w:tcPr>
            <w:tcW w:w="1418" w:type="dxa"/>
            <w:vAlign w:val="center"/>
          </w:tcPr>
          <w:p w14:paraId="4CD7654D">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xml:space="preserve">≥ </w:t>
            </w:r>
            <w:r>
              <w:rPr>
                <w:rFonts w:hint="default" w:eastAsia="SimSun"/>
                <w:color w:val="000000" w:themeColor="text1"/>
                <w:sz w:val="26"/>
                <w:szCs w:val="26"/>
                <w:lang w:val="en-GB" w:eastAsia="zh-CN" w:bidi="ar"/>
                <w14:textFill>
                  <w14:solidFill>
                    <w14:schemeClr w14:val="tx1"/>
                  </w14:solidFill>
                </w14:textFill>
              </w:rPr>
              <w:t>5</w:t>
            </w:r>
            <w:r>
              <w:rPr>
                <w:rFonts w:eastAsia="SimSun"/>
                <w:color w:val="000000" w:themeColor="text1"/>
                <w:sz w:val="26"/>
                <w:szCs w:val="26"/>
                <w:lang w:val="en-US" w:eastAsia="zh-CN" w:bidi="ar"/>
                <w14:textFill>
                  <w14:solidFill>
                    <w14:schemeClr w14:val="tx1"/>
                  </w14:solidFill>
                </w14:textFill>
              </w:rPr>
              <w:t>0</w:t>
            </w:r>
          </w:p>
        </w:tc>
      </w:tr>
      <w:tr w14:paraId="07BE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46BCC8FE">
            <w:pPr>
              <w:jc w:val="center"/>
              <w:rPr>
                <w:rFonts w:hint="default"/>
                <w:b w:val="0"/>
                <w:bCs w:val="0"/>
                <w:color w:val="000000" w:themeColor="text1"/>
                <w:spacing w:val="-8"/>
                <w:sz w:val="26"/>
                <w:szCs w:val="26"/>
                <w:lang w:val="en-GB"/>
                <w14:textFill>
                  <w14:solidFill>
                    <w14:schemeClr w14:val="tx1"/>
                  </w14:solidFill>
                </w14:textFill>
              </w:rPr>
            </w:pPr>
            <w:r>
              <w:rPr>
                <w:rFonts w:hint="default"/>
                <w:b w:val="0"/>
                <w:bCs w:val="0"/>
                <w:color w:val="000000" w:themeColor="text1"/>
                <w:spacing w:val="-8"/>
                <w:sz w:val="26"/>
                <w:szCs w:val="26"/>
                <w:lang w:val="en-GB"/>
                <w14:textFill>
                  <w14:solidFill>
                    <w14:schemeClr w14:val="tx1"/>
                  </w14:solidFill>
                </w14:textFill>
              </w:rPr>
              <w:t>7</w:t>
            </w:r>
          </w:p>
        </w:tc>
        <w:tc>
          <w:tcPr>
            <w:tcW w:w="5673" w:type="dxa"/>
            <w:vAlign w:val="center"/>
          </w:tcPr>
          <w:p w14:paraId="5377A2BF">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Doanh nghiệp tham gia các chương trình nghiên cứu ứng dụng, đổi mới công nghệ và chuyển giao công nghệ</w:t>
            </w:r>
          </w:p>
        </w:tc>
        <w:tc>
          <w:tcPr>
            <w:tcW w:w="1682" w:type="dxa"/>
            <w:vAlign w:val="center"/>
          </w:tcPr>
          <w:p w14:paraId="2FAB577F">
            <w:pPr>
              <w:jc w:val="center"/>
              <w:rPr>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Doanh nghiệp</w:t>
            </w:r>
          </w:p>
        </w:tc>
        <w:tc>
          <w:tcPr>
            <w:tcW w:w="1418" w:type="dxa"/>
            <w:vAlign w:val="center"/>
          </w:tcPr>
          <w:p w14:paraId="5B48825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200</w:t>
            </w:r>
          </w:p>
        </w:tc>
      </w:tr>
      <w:tr w14:paraId="3F2A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2A57074B">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III</w:t>
            </w:r>
          </w:p>
        </w:tc>
        <w:tc>
          <w:tcPr>
            <w:tcW w:w="5673" w:type="dxa"/>
            <w:vAlign w:val="center"/>
          </w:tcPr>
          <w:p w14:paraId="67BF8B14">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Doanh nghiệp ĐMST và thương mại hóa công nghệ</w:t>
            </w:r>
          </w:p>
        </w:tc>
        <w:tc>
          <w:tcPr>
            <w:tcW w:w="1682" w:type="dxa"/>
            <w:vAlign w:val="center"/>
          </w:tcPr>
          <w:p w14:paraId="3A477F5E">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63EE11B6">
            <w:pPr>
              <w:jc w:val="center"/>
              <w:rPr>
                <w:color w:val="000000" w:themeColor="text1"/>
                <w:spacing w:val="-8"/>
                <w:sz w:val="26"/>
                <w:szCs w:val="26"/>
                <w:lang w:val="vi-VN"/>
                <w14:textFill>
                  <w14:solidFill>
                    <w14:schemeClr w14:val="tx1"/>
                  </w14:solidFill>
                </w14:textFill>
              </w:rPr>
            </w:pPr>
          </w:p>
        </w:tc>
      </w:tr>
      <w:tr w14:paraId="2A90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08" w:type="dxa"/>
            <w:vAlign w:val="center"/>
          </w:tcPr>
          <w:p w14:paraId="58DC3660">
            <w:pPr>
              <w:jc w:val="center"/>
              <w:rPr>
                <w:rFonts w:hint="default"/>
                <w:b/>
                <w:bCs/>
                <w:color w:val="000000" w:themeColor="text1"/>
                <w:spacing w:val="-8"/>
                <w:sz w:val="26"/>
                <w:szCs w:val="26"/>
                <w:lang w:val="en-GB"/>
                <w14:textFill>
                  <w14:solidFill>
                    <w14:schemeClr w14:val="tx1"/>
                  </w14:solidFill>
                </w14:textFill>
              </w:rPr>
            </w:pPr>
            <w:r>
              <w:rPr>
                <w:rFonts w:hint="default"/>
                <w:b w:val="0"/>
                <w:bCs w:val="0"/>
                <w:color w:val="000000" w:themeColor="text1"/>
                <w:spacing w:val="-8"/>
                <w:sz w:val="26"/>
                <w:szCs w:val="26"/>
                <w:lang w:val="en-GB"/>
                <w14:textFill>
                  <w14:solidFill>
                    <w14:schemeClr w14:val="tx1"/>
                  </w14:solidFill>
                </w14:textFill>
              </w:rPr>
              <w:t>8</w:t>
            </w:r>
          </w:p>
        </w:tc>
        <w:tc>
          <w:tcPr>
            <w:tcW w:w="5673" w:type="dxa"/>
            <w:vAlign w:val="center"/>
          </w:tcPr>
          <w:p w14:paraId="131EEF19">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Doanh nghiệp được hỗ trợ đổi mới công nghệ, chuyển đổi số hoặc nâng cao năng lực ĐMST</w:t>
            </w:r>
          </w:p>
        </w:tc>
        <w:tc>
          <w:tcPr>
            <w:tcW w:w="1682" w:type="dxa"/>
            <w:vAlign w:val="center"/>
          </w:tcPr>
          <w:p w14:paraId="24C74CFA">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Doanh nghiệp</w:t>
            </w:r>
          </w:p>
        </w:tc>
        <w:tc>
          <w:tcPr>
            <w:tcW w:w="1418" w:type="dxa"/>
            <w:vAlign w:val="center"/>
          </w:tcPr>
          <w:p w14:paraId="0CE0E3D2">
            <w:pPr>
              <w:jc w:val="center"/>
              <w:rPr>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300</w:t>
            </w:r>
          </w:p>
        </w:tc>
      </w:tr>
      <w:tr w14:paraId="124F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0BC95378">
            <w:pPr>
              <w:jc w:val="center"/>
              <w:rPr>
                <w:rFonts w:hint="default"/>
                <w:b/>
                <w:bCs/>
                <w:color w:val="000000" w:themeColor="text1"/>
                <w:spacing w:val="-8"/>
                <w:sz w:val="26"/>
                <w:szCs w:val="26"/>
                <w:lang w:val="en-GB"/>
                <w14:textFill>
                  <w14:solidFill>
                    <w14:schemeClr w14:val="tx1"/>
                  </w14:solidFill>
                </w14:textFill>
              </w:rPr>
            </w:pPr>
            <w:r>
              <w:rPr>
                <w:rFonts w:hint="default" w:eastAsia="SimSun"/>
                <w:color w:val="000000" w:themeColor="text1"/>
                <w:sz w:val="26"/>
                <w:szCs w:val="26"/>
                <w:lang w:val="en-GB" w:eastAsia="zh-CN" w:bidi="ar"/>
                <w14:textFill>
                  <w14:solidFill>
                    <w14:schemeClr w14:val="tx1"/>
                  </w14:solidFill>
                </w14:textFill>
              </w:rPr>
              <w:t>9</w:t>
            </w:r>
          </w:p>
        </w:tc>
        <w:tc>
          <w:tcPr>
            <w:tcW w:w="5673" w:type="dxa"/>
            <w:vAlign w:val="center"/>
          </w:tcPr>
          <w:p w14:paraId="4593EAF9">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Dự án khởi nghiệp sáng tạo, doanh nghiệp khoa học và công nghệ được hỗ trợ phát triển</w:t>
            </w:r>
          </w:p>
        </w:tc>
        <w:tc>
          <w:tcPr>
            <w:tcW w:w="1682" w:type="dxa"/>
            <w:vAlign w:val="center"/>
          </w:tcPr>
          <w:p w14:paraId="56AA3E21">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Dự án/Doanh nghiệp</w:t>
            </w:r>
          </w:p>
        </w:tc>
        <w:tc>
          <w:tcPr>
            <w:tcW w:w="1418" w:type="dxa"/>
            <w:vAlign w:val="center"/>
          </w:tcPr>
          <w:p w14:paraId="5C1E5280">
            <w:pPr>
              <w:jc w:val="center"/>
              <w:rPr>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80</w:t>
            </w:r>
          </w:p>
        </w:tc>
      </w:tr>
      <w:tr w14:paraId="1424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DB20958">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0</w:t>
            </w:r>
          </w:p>
        </w:tc>
        <w:tc>
          <w:tcPr>
            <w:tcW w:w="5673" w:type="dxa"/>
            <w:vAlign w:val="center"/>
          </w:tcPr>
          <w:p w14:paraId="521D4691">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Sản phẩm, giải pháp công nghệ hoặc mô hình kinh doanh ĐMST được hoàn thiện và thương mại hóa</w:t>
            </w:r>
          </w:p>
        </w:tc>
        <w:tc>
          <w:tcPr>
            <w:tcW w:w="1682" w:type="dxa"/>
            <w:vAlign w:val="center"/>
          </w:tcPr>
          <w:p w14:paraId="4828FB19">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Sản phẩm</w:t>
            </w:r>
          </w:p>
        </w:tc>
        <w:tc>
          <w:tcPr>
            <w:tcW w:w="1418" w:type="dxa"/>
            <w:vAlign w:val="center"/>
          </w:tcPr>
          <w:p w14:paraId="6735C06D">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25</w:t>
            </w:r>
          </w:p>
        </w:tc>
      </w:tr>
      <w:tr w14:paraId="4C07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453A641B">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IV</w:t>
            </w:r>
          </w:p>
        </w:tc>
        <w:tc>
          <w:tcPr>
            <w:tcW w:w="5673" w:type="dxa"/>
            <w:vAlign w:val="center"/>
          </w:tcPr>
          <w:p w14:paraId="6C1F2EEE">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Khoa học, công nghệ và sở hữu trí tuệ</w:t>
            </w:r>
          </w:p>
        </w:tc>
        <w:tc>
          <w:tcPr>
            <w:tcW w:w="1682" w:type="dxa"/>
            <w:vAlign w:val="center"/>
          </w:tcPr>
          <w:p w14:paraId="03585979">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6F6D37EB">
            <w:pPr>
              <w:jc w:val="center"/>
              <w:rPr>
                <w:b/>
                <w:bCs/>
                <w:color w:val="000000" w:themeColor="text1"/>
                <w:spacing w:val="-8"/>
                <w:sz w:val="26"/>
                <w:szCs w:val="26"/>
                <w:lang w:val="vi-VN"/>
                <w14:textFill>
                  <w14:solidFill>
                    <w14:schemeClr w14:val="tx1"/>
                  </w14:solidFill>
                </w14:textFill>
              </w:rPr>
            </w:pPr>
          </w:p>
        </w:tc>
      </w:tr>
      <w:tr w14:paraId="4A38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48324558">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1</w:t>
            </w:r>
          </w:p>
        </w:tc>
        <w:tc>
          <w:tcPr>
            <w:tcW w:w="5673" w:type="dxa"/>
            <w:vAlign w:val="center"/>
          </w:tcPr>
          <w:p w14:paraId="4B9B2C44">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Nhiệm vụ nghiên cứu ứng dụng, chuyển giao công nghệ phục vụ phát triển kinh tế - xã hội được triển khai</w:t>
            </w:r>
          </w:p>
        </w:tc>
        <w:tc>
          <w:tcPr>
            <w:tcW w:w="1682" w:type="dxa"/>
            <w:vAlign w:val="center"/>
          </w:tcPr>
          <w:p w14:paraId="1AFE0AB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Nhiệm vụ</w:t>
            </w:r>
          </w:p>
        </w:tc>
        <w:tc>
          <w:tcPr>
            <w:tcW w:w="1418" w:type="dxa"/>
            <w:vAlign w:val="center"/>
          </w:tcPr>
          <w:p w14:paraId="1EEECCE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20</w:t>
            </w:r>
          </w:p>
        </w:tc>
      </w:tr>
      <w:tr w14:paraId="5702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73827FAB">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2</w:t>
            </w:r>
          </w:p>
        </w:tc>
        <w:tc>
          <w:tcPr>
            <w:tcW w:w="5673" w:type="dxa"/>
            <w:vAlign w:val="center"/>
          </w:tcPr>
          <w:p w14:paraId="7068AFD7">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Công nghệ, quy trình hoặc giải pháp kỹ thuật được chuyển giao cho doanh nghiệp</w:t>
            </w:r>
          </w:p>
        </w:tc>
        <w:tc>
          <w:tcPr>
            <w:tcW w:w="1682" w:type="dxa"/>
            <w:vAlign w:val="center"/>
          </w:tcPr>
          <w:p w14:paraId="7B2EBA85">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Công nghệ/Giải pháp</w:t>
            </w:r>
          </w:p>
        </w:tc>
        <w:tc>
          <w:tcPr>
            <w:tcW w:w="1418" w:type="dxa"/>
            <w:vAlign w:val="center"/>
          </w:tcPr>
          <w:p w14:paraId="4AB6846A">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30</w:t>
            </w:r>
          </w:p>
        </w:tc>
      </w:tr>
      <w:tr w14:paraId="49C7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E8D087D">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3</w:t>
            </w:r>
          </w:p>
        </w:tc>
        <w:tc>
          <w:tcPr>
            <w:tcW w:w="5673" w:type="dxa"/>
            <w:vAlign w:val="center"/>
          </w:tcPr>
          <w:p w14:paraId="238B5AA2">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Tốc độ tăng số lượng đơn đăng ký sáng chế, giải pháp hữu ích và văn bằng bảo hộ sở hữu trí tuệ</w:t>
            </w:r>
          </w:p>
        </w:tc>
        <w:tc>
          <w:tcPr>
            <w:tcW w:w="1682" w:type="dxa"/>
            <w:vAlign w:val="center"/>
          </w:tcPr>
          <w:p w14:paraId="3420CDAC">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%/năm</w:t>
            </w:r>
          </w:p>
        </w:tc>
        <w:tc>
          <w:tcPr>
            <w:tcW w:w="1418" w:type="dxa"/>
            <w:vAlign w:val="center"/>
          </w:tcPr>
          <w:p w14:paraId="697F0AA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10%</w:t>
            </w:r>
          </w:p>
        </w:tc>
      </w:tr>
      <w:tr w14:paraId="4E0E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655A37A">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V</w:t>
            </w:r>
          </w:p>
        </w:tc>
        <w:tc>
          <w:tcPr>
            <w:tcW w:w="5673" w:type="dxa"/>
            <w:vAlign w:val="center"/>
          </w:tcPr>
          <w:p w14:paraId="6E6D2A7A">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Nguồn nhân lực và chuyên gia ĐMST</w:t>
            </w:r>
          </w:p>
        </w:tc>
        <w:tc>
          <w:tcPr>
            <w:tcW w:w="1682" w:type="dxa"/>
            <w:vAlign w:val="center"/>
          </w:tcPr>
          <w:p w14:paraId="6D037C22">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39BE2142">
            <w:pPr>
              <w:jc w:val="center"/>
              <w:rPr>
                <w:b/>
                <w:bCs/>
                <w:color w:val="000000" w:themeColor="text1"/>
                <w:spacing w:val="-8"/>
                <w:sz w:val="26"/>
                <w:szCs w:val="26"/>
                <w:lang w:val="vi-VN"/>
                <w14:textFill>
                  <w14:solidFill>
                    <w14:schemeClr w14:val="tx1"/>
                  </w14:solidFill>
                </w14:textFill>
              </w:rPr>
            </w:pPr>
          </w:p>
        </w:tc>
      </w:tr>
      <w:tr w14:paraId="13B3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24F6C30D">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4</w:t>
            </w:r>
          </w:p>
        </w:tc>
        <w:tc>
          <w:tcPr>
            <w:tcW w:w="5673" w:type="dxa"/>
            <w:vAlign w:val="center"/>
          </w:tcPr>
          <w:p w14:paraId="29A58358">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Mạng lưới chuyên gia, cố vấn, mentor và đối tác hỗ trợ ĐMST được hình thành</w:t>
            </w:r>
          </w:p>
        </w:tc>
        <w:tc>
          <w:tcPr>
            <w:tcW w:w="1682" w:type="dxa"/>
            <w:vAlign w:val="center"/>
          </w:tcPr>
          <w:p w14:paraId="4DAC9498">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Người</w:t>
            </w:r>
          </w:p>
        </w:tc>
        <w:tc>
          <w:tcPr>
            <w:tcW w:w="1418" w:type="dxa"/>
            <w:vAlign w:val="center"/>
          </w:tcPr>
          <w:p w14:paraId="70CD6BF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100</w:t>
            </w:r>
          </w:p>
        </w:tc>
      </w:tr>
      <w:tr w14:paraId="423E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5D340697">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5</w:t>
            </w:r>
          </w:p>
        </w:tc>
        <w:tc>
          <w:tcPr>
            <w:tcW w:w="5673" w:type="dxa"/>
            <w:vAlign w:val="center"/>
          </w:tcPr>
          <w:p w14:paraId="2FEDBF8D">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Chương trình đào tạo về ĐMST, chuyển đổi số, quản trị công nghệ và khởi nghiệp sáng tạo được triển khai</w:t>
            </w:r>
          </w:p>
        </w:tc>
        <w:tc>
          <w:tcPr>
            <w:tcW w:w="1682" w:type="dxa"/>
            <w:vAlign w:val="center"/>
          </w:tcPr>
          <w:p w14:paraId="4EDA3EE4">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Chương trình</w:t>
            </w:r>
          </w:p>
        </w:tc>
        <w:tc>
          <w:tcPr>
            <w:tcW w:w="1418" w:type="dxa"/>
            <w:vAlign w:val="center"/>
          </w:tcPr>
          <w:p w14:paraId="25AB9349">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30</w:t>
            </w:r>
          </w:p>
        </w:tc>
      </w:tr>
      <w:tr w14:paraId="5367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651B3D8F">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6</w:t>
            </w:r>
          </w:p>
        </w:tc>
        <w:tc>
          <w:tcPr>
            <w:tcW w:w="5673" w:type="dxa"/>
            <w:vAlign w:val="center"/>
          </w:tcPr>
          <w:p w14:paraId="61159042">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Cán bộ quản lý, doanh nghiệp, startup và người học được đào tạo, bồi dưỡng</w:t>
            </w:r>
          </w:p>
        </w:tc>
        <w:tc>
          <w:tcPr>
            <w:tcW w:w="1682" w:type="dxa"/>
            <w:vAlign w:val="center"/>
          </w:tcPr>
          <w:p w14:paraId="134C10B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Người</w:t>
            </w:r>
          </w:p>
        </w:tc>
        <w:tc>
          <w:tcPr>
            <w:tcW w:w="1418" w:type="dxa"/>
            <w:vAlign w:val="center"/>
          </w:tcPr>
          <w:p w14:paraId="682AF78D">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3.000</w:t>
            </w:r>
          </w:p>
        </w:tc>
      </w:tr>
      <w:tr w14:paraId="3854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51580097">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VI</w:t>
            </w:r>
          </w:p>
        </w:tc>
        <w:tc>
          <w:tcPr>
            <w:tcW w:w="5673" w:type="dxa"/>
            <w:vAlign w:val="center"/>
          </w:tcPr>
          <w:p w14:paraId="381B7CB8">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Mở rộng hệ sinh thái ĐMST</w:t>
            </w:r>
          </w:p>
        </w:tc>
        <w:tc>
          <w:tcPr>
            <w:tcW w:w="1682" w:type="dxa"/>
            <w:vAlign w:val="center"/>
          </w:tcPr>
          <w:p w14:paraId="118C6CD9">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533877AE">
            <w:pPr>
              <w:jc w:val="center"/>
              <w:rPr>
                <w:b/>
                <w:bCs/>
                <w:color w:val="000000" w:themeColor="text1"/>
                <w:spacing w:val="-8"/>
                <w:sz w:val="26"/>
                <w:szCs w:val="26"/>
                <w:lang w:val="vi-VN"/>
                <w14:textFill>
                  <w14:solidFill>
                    <w14:schemeClr w14:val="tx1"/>
                  </w14:solidFill>
                </w14:textFill>
              </w:rPr>
            </w:pPr>
          </w:p>
        </w:tc>
      </w:tr>
      <w:tr w14:paraId="2E87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0F57CEFC">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7</w:t>
            </w:r>
          </w:p>
        </w:tc>
        <w:tc>
          <w:tcPr>
            <w:tcW w:w="5673" w:type="dxa"/>
            <w:vAlign w:val="center"/>
          </w:tcPr>
          <w:p w14:paraId="36AC5245">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GB" w:eastAsia="zh-CN" w:bidi="ar"/>
                <w14:textFill>
                  <w14:solidFill>
                    <w14:schemeClr w14:val="tx1"/>
                  </w14:solidFill>
                </w14:textFill>
              </w:rPr>
              <w:t>Không gian khởi nghiệp sáng tạo cộng đồng</w:t>
            </w:r>
            <w:r>
              <w:rPr>
                <w:rFonts w:eastAsia="SimSun"/>
                <w:color w:val="000000" w:themeColor="text1"/>
                <w:sz w:val="26"/>
                <w:szCs w:val="26"/>
                <w:lang w:val="vi-VN" w:eastAsia="zh-CN" w:bidi="ar"/>
                <w14:textFill>
                  <w14:solidFill>
                    <w14:schemeClr w14:val="tx1"/>
                  </w14:solidFill>
                </w14:textFill>
              </w:rPr>
              <w:t xml:space="preserve"> được mở rộng và vận hành</w:t>
            </w:r>
          </w:p>
        </w:tc>
        <w:tc>
          <w:tcPr>
            <w:tcW w:w="1682" w:type="dxa"/>
            <w:vAlign w:val="center"/>
          </w:tcPr>
          <w:p w14:paraId="0BDCE7CD">
            <w:pPr>
              <w:jc w:val="center"/>
              <w:rPr>
                <w:b/>
                <w:bCs/>
                <w:color w:val="000000" w:themeColor="text1"/>
                <w:spacing w:val="-8"/>
                <w:sz w:val="26"/>
                <w:szCs w:val="26"/>
                <w:lang w:val="en-GB"/>
                <w14:textFill>
                  <w14:solidFill>
                    <w14:schemeClr w14:val="tx1"/>
                  </w14:solidFill>
                </w14:textFill>
              </w:rPr>
            </w:pPr>
            <w:r>
              <w:rPr>
                <w:color w:val="000000" w:themeColor="text1"/>
                <w:spacing w:val="-8"/>
                <w:sz w:val="26"/>
                <w:szCs w:val="26"/>
                <w:lang w:val="en-GB"/>
                <w14:textFill>
                  <w14:solidFill>
                    <w14:schemeClr w14:val="tx1"/>
                  </w14:solidFill>
                </w14:textFill>
              </w:rPr>
              <w:t>Trạm</w:t>
            </w:r>
          </w:p>
        </w:tc>
        <w:tc>
          <w:tcPr>
            <w:tcW w:w="1418" w:type="dxa"/>
            <w:vAlign w:val="center"/>
          </w:tcPr>
          <w:p w14:paraId="34B568E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20</w:t>
            </w:r>
          </w:p>
        </w:tc>
      </w:tr>
      <w:tr w14:paraId="5BE1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19B77E6E">
            <w:pPr>
              <w:jc w:val="center"/>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r>
              <w:rPr>
                <w:rFonts w:hint="default" w:eastAsia="SimSun"/>
                <w:color w:val="000000" w:themeColor="text1"/>
                <w:sz w:val="26"/>
                <w:szCs w:val="26"/>
                <w:lang w:val="en-GB" w:eastAsia="zh-CN" w:bidi="ar"/>
                <w14:textFill>
                  <w14:solidFill>
                    <w14:schemeClr w14:val="tx1"/>
                  </w14:solidFill>
                </w14:textFill>
              </w:rPr>
              <w:t>8</w:t>
            </w:r>
          </w:p>
        </w:tc>
        <w:tc>
          <w:tcPr>
            <w:tcW w:w="5673" w:type="dxa"/>
            <w:vAlign w:val="center"/>
          </w:tcPr>
          <w:p w14:paraId="2F79F703">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Tổ chức trung gian hỗ trợ ĐMST tham gia hệ sinh thái</w:t>
            </w:r>
          </w:p>
        </w:tc>
        <w:tc>
          <w:tcPr>
            <w:tcW w:w="1682" w:type="dxa"/>
            <w:vAlign w:val="center"/>
          </w:tcPr>
          <w:p w14:paraId="7505F8A4">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Tổ chức</w:t>
            </w:r>
          </w:p>
        </w:tc>
        <w:tc>
          <w:tcPr>
            <w:tcW w:w="1418" w:type="dxa"/>
            <w:vAlign w:val="center"/>
          </w:tcPr>
          <w:p w14:paraId="0120A185">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05</w:t>
            </w:r>
          </w:p>
        </w:tc>
      </w:tr>
      <w:tr w14:paraId="0CFF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65D769E2">
            <w:pPr>
              <w:jc w:val="center"/>
              <w:rPr>
                <w:rFonts w:hint="default"/>
                <w:b/>
                <w:bCs/>
                <w:color w:val="000000" w:themeColor="text1"/>
                <w:spacing w:val="-8"/>
                <w:sz w:val="26"/>
                <w:szCs w:val="26"/>
                <w:lang w:val="en-GB"/>
                <w14:textFill>
                  <w14:solidFill>
                    <w14:schemeClr w14:val="tx1"/>
                  </w14:solidFill>
                </w14:textFill>
              </w:rPr>
            </w:pPr>
            <w:r>
              <w:rPr>
                <w:rFonts w:hint="default"/>
                <w:b w:val="0"/>
                <w:bCs w:val="0"/>
                <w:color w:val="000000" w:themeColor="text1"/>
                <w:spacing w:val="-8"/>
                <w:sz w:val="26"/>
                <w:szCs w:val="26"/>
                <w:lang w:val="en-GB"/>
                <w14:textFill>
                  <w14:solidFill>
                    <w14:schemeClr w14:val="tx1"/>
                  </w14:solidFill>
                </w14:textFill>
              </w:rPr>
              <w:t>19</w:t>
            </w:r>
          </w:p>
        </w:tc>
        <w:tc>
          <w:tcPr>
            <w:tcW w:w="5673" w:type="dxa"/>
            <w:vAlign w:val="center"/>
          </w:tcPr>
          <w:p w14:paraId="1405F632">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Chương trình kết nối đầu tư, kết nối công nghệ và đổi mới sáng tạo được tổ chức</w:t>
            </w:r>
          </w:p>
        </w:tc>
        <w:tc>
          <w:tcPr>
            <w:tcW w:w="1682" w:type="dxa"/>
            <w:vAlign w:val="center"/>
          </w:tcPr>
          <w:p w14:paraId="43C28FA4">
            <w:pPr>
              <w:jc w:val="center"/>
              <w:rPr>
                <w:b/>
                <w:bCs/>
                <w:color w:val="000000" w:themeColor="text1"/>
                <w:spacing w:val="-8"/>
                <w:sz w:val="26"/>
                <w:szCs w:val="26"/>
                <w:lang w:val="en-US"/>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Chương trình</w:t>
            </w:r>
          </w:p>
        </w:tc>
        <w:tc>
          <w:tcPr>
            <w:tcW w:w="1418" w:type="dxa"/>
            <w:vAlign w:val="center"/>
          </w:tcPr>
          <w:p w14:paraId="1A0D5841">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20</w:t>
            </w:r>
          </w:p>
        </w:tc>
      </w:tr>
      <w:tr w14:paraId="0939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3D5E29CE">
            <w:pPr>
              <w:jc w:val="center"/>
              <w:rPr>
                <w:rFonts w:eastAsia="SimSun"/>
                <w:color w:val="000000" w:themeColor="text1"/>
                <w:sz w:val="26"/>
                <w:szCs w:val="26"/>
                <w:lang w:val="en-GB" w:eastAsia="zh-CN" w:bidi="ar"/>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VII</w:t>
            </w:r>
          </w:p>
        </w:tc>
        <w:tc>
          <w:tcPr>
            <w:tcW w:w="5673" w:type="dxa"/>
            <w:vAlign w:val="center"/>
          </w:tcPr>
          <w:p w14:paraId="60768F96">
            <w:pPr>
              <w:jc w:val="left"/>
              <w:rPr>
                <w:rFonts w:eastAsia="SimSun"/>
                <w:color w:val="000000" w:themeColor="text1"/>
                <w:sz w:val="26"/>
                <w:szCs w:val="26"/>
                <w:lang w:val="en-US" w:eastAsia="zh-CN" w:bidi="ar"/>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Thu hút nguồn lực trong nước và quốc tế</w:t>
            </w:r>
          </w:p>
        </w:tc>
        <w:tc>
          <w:tcPr>
            <w:tcW w:w="1682" w:type="dxa"/>
            <w:vAlign w:val="center"/>
          </w:tcPr>
          <w:p w14:paraId="3F6F5FD5">
            <w:pPr>
              <w:jc w:val="center"/>
              <w:rPr>
                <w:rFonts w:eastAsia="SimSun"/>
                <w:color w:val="000000" w:themeColor="text1"/>
                <w:sz w:val="26"/>
                <w:szCs w:val="26"/>
                <w:lang w:val="en-US" w:eastAsia="zh-CN" w:bidi="ar"/>
                <w14:textFill>
                  <w14:solidFill>
                    <w14:schemeClr w14:val="tx1"/>
                  </w14:solidFill>
                </w14:textFill>
              </w:rPr>
            </w:pPr>
          </w:p>
        </w:tc>
        <w:tc>
          <w:tcPr>
            <w:tcW w:w="1418" w:type="dxa"/>
            <w:vAlign w:val="center"/>
          </w:tcPr>
          <w:p w14:paraId="2EBC4F43">
            <w:pPr>
              <w:jc w:val="center"/>
              <w:rPr>
                <w:rFonts w:eastAsia="SimSun"/>
                <w:color w:val="000000" w:themeColor="text1"/>
                <w:sz w:val="26"/>
                <w:szCs w:val="26"/>
                <w:lang w:val="en-US" w:eastAsia="zh-CN" w:bidi="ar"/>
                <w14:textFill>
                  <w14:solidFill>
                    <w14:schemeClr w14:val="tx1"/>
                  </w14:solidFill>
                </w14:textFill>
              </w:rPr>
            </w:pPr>
          </w:p>
        </w:tc>
      </w:tr>
      <w:tr w14:paraId="0F53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009D7A92">
            <w:pPr>
              <w:jc w:val="center"/>
              <w:rPr>
                <w:rFonts w:hint="default" w:eastAsia="SimSun"/>
                <w:color w:val="000000" w:themeColor="text1"/>
                <w:sz w:val="26"/>
                <w:szCs w:val="26"/>
                <w:lang w:val="en-GB"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w:t>
            </w:r>
            <w:r>
              <w:rPr>
                <w:rFonts w:hint="default" w:eastAsia="SimSun"/>
                <w:color w:val="000000" w:themeColor="text1"/>
                <w:sz w:val="26"/>
                <w:szCs w:val="26"/>
                <w:lang w:val="en-GB" w:eastAsia="zh-CN" w:bidi="ar"/>
                <w14:textFill>
                  <w14:solidFill>
                    <w14:schemeClr w14:val="tx1"/>
                  </w14:solidFill>
                </w14:textFill>
              </w:rPr>
              <w:t>0</w:t>
            </w:r>
          </w:p>
        </w:tc>
        <w:tc>
          <w:tcPr>
            <w:tcW w:w="5673" w:type="dxa"/>
            <w:vAlign w:val="center"/>
          </w:tcPr>
          <w:p w14:paraId="3473D7C1">
            <w:pPr>
              <w:jc w:val="left"/>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Trung tâm R&amp;D hoặc bộ phận R&amp;D của doanh nghiệp trong nước và quốc tế được thu hút đầu tư tại tỉnh</w:t>
            </w:r>
          </w:p>
        </w:tc>
        <w:tc>
          <w:tcPr>
            <w:tcW w:w="1682" w:type="dxa"/>
            <w:vAlign w:val="center"/>
          </w:tcPr>
          <w:p w14:paraId="5B28E11A">
            <w:pPr>
              <w:jc w:val="center"/>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Trung tâm</w:t>
            </w:r>
          </w:p>
        </w:tc>
        <w:tc>
          <w:tcPr>
            <w:tcW w:w="1418" w:type="dxa"/>
            <w:vAlign w:val="center"/>
          </w:tcPr>
          <w:p w14:paraId="4A508D8E">
            <w:pPr>
              <w:jc w:val="center"/>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01–02</w:t>
            </w:r>
          </w:p>
        </w:tc>
      </w:tr>
      <w:tr w14:paraId="06F9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14:paraId="0CA6CEED">
            <w:pPr>
              <w:jc w:val="center"/>
              <w:rPr>
                <w:rFonts w:hint="default" w:eastAsia="SimSun"/>
                <w:color w:val="000000" w:themeColor="text1"/>
                <w:sz w:val="26"/>
                <w:szCs w:val="26"/>
                <w:lang w:val="en-GB"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w:t>
            </w:r>
            <w:r>
              <w:rPr>
                <w:rFonts w:hint="default" w:eastAsia="SimSun"/>
                <w:color w:val="000000" w:themeColor="text1"/>
                <w:sz w:val="26"/>
                <w:szCs w:val="26"/>
                <w:lang w:val="en-GB" w:eastAsia="zh-CN" w:bidi="ar"/>
                <w14:textFill>
                  <w14:solidFill>
                    <w14:schemeClr w14:val="tx1"/>
                  </w14:solidFill>
                </w14:textFill>
              </w:rPr>
              <w:t>1</w:t>
            </w:r>
          </w:p>
        </w:tc>
        <w:tc>
          <w:tcPr>
            <w:tcW w:w="5673" w:type="dxa"/>
            <w:vAlign w:val="center"/>
          </w:tcPr>
          <w:p w14:paraId="765D1CB5">
            <w:pPr>
              <w:jc w:val="left"/>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Đối tác quốc tế, trường đại học, viện nghiên cứu và tổ chức hỗ trợ ĐMST tham gia hợp tác với tỉnh</w:t>
            </w:r>
          </w:p>
        </w:tc>
        <w:tc>
          <w:tcPr>
            <w:tcW w:w="1682" w:type="dxa"/>
            <w:vAlign w:val="center"/>
          </w:tcPr>
          <w:p w14:paraId="6D2337F3">
            <w:pPr>
              <w:jc w:val="center"/>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Đối tác</w:t>
            </w:r>
          </w:p>
        </w:tc>
        <w:tc>
          <w:tcPr>
            <w:tcW w:w="1418" w:type="dxa"/>
            <w:vAlign w:val="center"/>
          </w:tcPr>
          <w:p w14:paraId="7B264A34">
            <w:pPr>
              <w:jc w:val="center"/>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20</w:t>
            </w:r>
          </w:p>
        </w:tc>
      </w:tr>
    </w:tbl>
    <w:p w14:paraId="318F5932">
      <w:pPr>
        <w:pStyle w:val="3"/>
        <w:rPr>
          <w:color w:val="000000" w:themeColor="text1"/>
          <w14:textFill>
            <w14:solidFill>
              <w14:schemeClr w14:val="tx1"/>
            </w14:solidFill>
          </w14:textFill>
        </w:rPr>
      </w:pPr>
      <w:bookmarkStart w:id="121" w:name="_Toc233183710"/>
      <w:r>
        <w:rPr>
          <w:color w:val="000000" w:themeColor="text1"/>
          <w14:textFill>
            <w14:solidFill>
              <w14:schemeClr w14:val="tx1"/>
            </w14:solidFill>
          </w14:textFill>
        </w:rPr>
        <w:t>III. GIAI ĐOẠN 3 (2029–2030): Mở rộng và hoàn thiện hệ sinh thái ĐMST trên phạm vi toàn tỉnh</w:t>
      </w:r>
      <w:bookmarkEnd w:id="121"/>
    </w:p>
    <w:p w14:paraId="356FE617">
      <w:pPr>
        <w:pStyle w:val="4"/>
        <w:rPr>
          <w:color w:val="000000" w:themeColor="text1"/>
          <w14:textFill>
            <w14:solidFill>
              <w14:schemeClr w14:val="tx1"/>
            </w14:solidFill>
          </w14:textFill>
        </w:rPr>
      </w:pPr>
      <w:bookmarkStart w:id="122" w:name="_Toc233183711"/>
      <w:r>
        <w:rPr>
          <w:color w:val="000000" w:themeColor="text1"/>
          <w14:textFill>
            <w14:solidFill>
              <w14:schemeClr w14:val="tx1"/>
            </w14:solidFill>
          </w14:textFill>
        </w:rPr>
        <w:t>3.1. Nhiệm vụ trọng tâm:</w:t>
      </w:r>
      <w:bookmarkEnd w:id="122"/>
      <w:r>
        <w:rPr>
          <w:color w:val="000000" w:themeColor="text1"/>
          <w14:textFill>
            <w14:solidFill>
              <w14:schemeClr w14:val="tx1"/>
            </w14:solidFill>
          </w14:textFill>
        </w:rPr>
        <w:t xml:space="preserve"> </w:t>
      </w:r>
    </w:p>
    <w:p w14:paraId="635D8EF4">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Hoàn thiện các cấu phần của hệ sinh thái ĐMST; mở rộng phạm vi tác động tới các ngành kinh tế, địa phương và cộng đồng doanh nghiệp trên toàn tỉnh.</w:t>
      </w:r>
    </w:p>
    <w:p w14:paraId="174224E6">
      <w:pPr>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3.2. Các kết quả cần hoàn thành:</w:t>
      </w:r>
    </w:p>
    <w:p w14:paraId="5F8E4180">
      <w:pPr>
        <w:spacing w:before="120" w:line="312" w:lineRule="auto"/>
        <w:ind w:firstLine="720"/>
        <w:rPr>
          <w:color w:val="000000" w:themeColor="text1"/>
          <w:sz w:val="26"/>
          <w:szCs w:val="26"/>
          <w:lang w:val="vi-VN"/>
          <w14:textFill>
            <w14:solidFill>
              <w14:schemeClr w14:val="tx1"/>
            </w14:solidFill>
          </w14:textFill>
        </w:rPr>
      </w:pPr>
      <w:r>
        <w:rPr>
          <w:b/>
          <w:bCs/>
          <w:color w:val="000000" w:themeColor="text1"/>
          <w:lang w:val="vi-VN"/>
          <w14:textFill>
            <w14:solidFill>
              <w14:schemeClr w14:val="tx1"/>
            </w14:solidFill>
          </w14:textFill>
        </w:rPr>
        <w:t>(</w:t>
      </w:r>
      <w:r>
        <w:rPr>
          <w:color w:val="000000" w:themeColor="text1"/>
          <w:sz w:val="26"/>
          <w:szCs w:val="26"/>
          <w:lang w:val="vi-VN"/>
          <w14:textFill>
            <w14:solidFill>
              <w14:schemeClr w14:val="tx1"/>
            </w14:solidFill>
          </w14:textFill>
        </w:rPr>
        <w:t xml:space="preserve">1) Mở rộng mạng lưới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trên toàn tỉnh</w:t>
      </w:r>
    </w:p>
    <w:p w14:paraId="6F73C34F">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Hoàn thiện mạng lưới từ 20–30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tại các khu công nghiệp, cơ sở giáo dục, nhà văn hóa, trung tâm cộng đồng và doanh nghiệp.</w:t>
      </w:r>
    </w:p>
    <w:p w14:paraId="4718988C">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(2) Hoàn thiện hệ thống các tổ chức trung gian hỗ trợ ĐMST</w:t>
      </w:r>
    </w:p>
    <w:p w14:paraId="15A10D73">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Hình thành từ 05–07 tổ chức trung gian hỗ trợ hệ sinh thái ĐMST theo mục tiêu của Đề án.</w:t>
      </w:r>
    </w:p>
    <w:p w14:paraId="5E8DBF68">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(3) Mở rộng mạng lưới hợp tác vùng, quốc gia và quốc tế</w:t>
      </w:r>
    </w:p>
    <w:p w14:paraId="7EF4CF52">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Tăng cường liên kết với các trung tâm ĐMST, trường đại học, viện nghiên cứu, doanh nghiệp công nghệ và các tổ chức hỗ trợ ĐMST trong nước và quốc tế.</w:t>
      </w:r>
    </w:p>
    <w:p w14:paraId="10C27521">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(4) Phát triển hệ sinh thái ĐMST đồng bộ gắn với các ngành kinh tế trọng điểm</w:t>
      </w:r>
    </w:p>
    <w:p w14:paraId="0F141B87">
      <w:pPr>
        <w:spacing w:before="120" w:line="312"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ĐMST trở thành động lực thúc đẩy phát triển công nghiệp công nghệ cao, du lịch, công nghiệp văn hóa, khoa học sự sống, dược liệu, nông nghiệp công nghệ cao và các ngành kinh tế dựa trên tri thức của tỉnh.</w:t>
      </w:r>
    </w:p>
    <w:p w14:paraId="1170C7C9">
      <w:pPr>
        <w:pStyle w:val="4"/>
        <w:rPr>
          <w:color w:val="000000" w:themeColor="text1"/>
          <w14:textFill>
            <w14:solidFill>
              <w14:schemeClr w14:val="tx1"/>
            </w14:solidFill>
          </w14:textFill>
        </w:rPr>
      </w:pPr>
      <w:bookmarkStart w:id="123" w:name="_Toc233183712"/>
      <w:r>
        <w:rPr>
          <w:color w:val="000000" w:themeColor="text1"/>
          <w14:textFill>
            <w14:solidFill>
              <w14:schemeClr w14:val="tx1"/>
            </w14:solidFill>
          </w14:textFill>
        </w:rPr>
        <w:t>3.3. Chỉ tiêu và mốc hoàn thành giai đoạn 3</w:t>
      </w:r>
      <w:bookmarkEnd w:id="123"/>
    </w:p>
    <w:p w14:paraId="2EAD3746">
      <w:pPr>
        <w:spacing w:before="120" w:line="312" w:lineRule="auto"/>
        <w:jc w:val="center"/>
        <w:rPr>
          <w:b/>
          <w:bCs/>
          <w:color w:val="000000" w:themeColor="text1"/>
          <w:spacing w:val="-8"/>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r>
        <w:rPr>
          <w:b/>
          <w:bCs/>
          <w:color w:val="000000" w:themeColor="text1"/>
          <w:spacing w:val="-8"/>
          <w:sz w:val="26"/>
          <w:szCs w:val="26"/>
          <w:lang w:val="vi-VN"/>
          <w14:textFill>
            <w14:solidFill>
              <w14:schemeClr w14:val="tx1"/>
            </w14:solidFill>
          </w14:textFill>
        </w:rPr>
        <w:t>Bảng 6. Chỉ tiêu và mục tiêu của giai đoạn 3</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5673"/>
        <w:gridCol w:w="1682"/>
        <w:gridCol w:w="1418"/>
      </w:tblGrid>
      <w:tr w14:paraId="4A05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62E3652">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STT</w:t>
            </w:r>
          </w:p>
        </w:tc>
        <w:tc>
          <w:tcPr>
            <w:tcW w:w="5673" w:type="dxa"/>
            <w:vAlign w:val="center"/>
          </w:tcPr>
          <w:p w14:paraId="75E6C2F9">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Chỉ tiêu/Kết quả cần đạt</w:t>
            </w:r>
          </w:p>
        </w:tc>
        <w:tc>
          <w:tcPr>
            <w:tcW w:w="1682" w:type="dxa"/>
            <w:vAlign w:val="center"/>
          </w:tcPr>
          <w:p w14:paraId="30D2CCD5">
            <w:pPr>
              <w:jc w:val="center"/>
              <w:rPr>
                <w:b/>
                <w:bCs/>
                <w:color w:val="000000" w:themeColor="text1"/>
                <w:spacing w:val="-8"/>
                <w:sz w:val="26"/>
                <w:szCs w:val="26"/>
                <w:lang w:val="en-GB"/>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Đơn vị tính</w:t>
            </w:r>
          </w:p>
        </w:tc>
        <w:tc>
          <w:tcPr>
            <w:tcW w:w="1418" w:type="dxa"/>
            <w:vAlign w:val="center"/>
          </w:tcPr>
          <w:p w14:paraId="2208E351">
            <w:pPr>
              <w:jc w:val="center"/>
              <w:rPr>
                <w:b/>
                <w:bCs/>
                <w:color w:val="000000" w:themeColor="text1"/>
                <w:spacing w:val="-8"/>
                <w:sz w:val="26"/>
                <w:szCs w:val="26"/>
                <w:lang w:val="vi-VN"/>
                <w14:textFill>
                  <w14:solidFill>
                    <w14:schemeClr w14:val="tx1"/>
                  </w14:solidFill>
                </w14:textFill>
              </w:rPr>
            </w:pPr>
            <w:r>
              <w:rPr>
                <w:rFonts w:eastAsia="SimSun"/>
                <w:b/>
                <w:bCs/>
                <w:color w:val="000000" w:themeColor="text1"/>
                <w:sz w:val="26"/>
                <w:szCs w:val="26"/>
                <w:lang w:val="en-US" w:eastAsia="zh-CN" w:bidi="ar"/>
                <w14:textFill>
                  <w14:solidFill>
                    <w14:schemeClr w14:val="tx1"/>
                  </w14:solidFill>
                </w14:textFill>
              </w:rPr>
              <w:t>Mục tiêu đến năm 2030</w:t>
            </w:r>
          </w:p>
        </w:tc>
      </w:tr>
      <w:tr w14:paraId="4E0B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D8F4EC8">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w:t>
            </w:r>
          </w:p>
        </w:tc>
        <w:tc>
          <w:tcPr>
            <w:tcW w:w="5673" w:type="dxa"/>
            <w:vAlign w:val="center"/>
          </w:tcPr>
          <w:p w14:paraId="0DCE2760">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Hoàn thiện hệ sinh thái ĐMST</w:t>
            </w:r>
          </w:p>
        </w:tc>
        <w:tc>
          <w:tcPr>
            <w:tcW w:w="1682" w:type="dxa"/>
            <w:vAlign w:val="center"/>
          </w:tcPr>
          <w:p w14:paraId="38C943C0">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1C38E73B">
            <w:pPr>
              <w:jc w:val="center"/>
              <w:rPr>
                <w:b/>
                <w:bCs/>
                <w:color w:val="000000" w:themeColor="text1"/>
                <w:spacing w:val="-8"/>
                <w:sz w:val="26"/>
                <w:szCs w:val="26"/>
                <w:lang w:val="vi-VN"/>
                <w14:textFill>
                  <w14:solidFill>
                    <w14:schemeClr w14:val="tx1"/>
                  </w14:solidFill>
                </w14:textFill>
              </w:rPr>
            </w:pPr>
          </w:p>
        </w:tc>
      </w:tr>
      <w:tr w14:paraId="1692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BE1D8D9">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w:t>
            </w:r>
          </w:p>
        </w:tc>
        <w:tc>
          <w:tcPr>
            <w:tcW w:w="5673" w:type="dxa"/>
            <w:vAlign w:val="center"/>
          </w:tcPr>
          <w:p w14:paraId="1248CAFC">
            <w:pPr>
              <w:jc w:val="left"/>
              <w:rPr>
                <w:b/>
                <w:bCs/>
                <w:color w:val="000000" w:themeColor="text1"/>
                <w:spacing w:val="-8"/>
                <w:sz w:val="26"/>
                <w:szCs w:val="26"/>
                <w:lang w:val="vi-VN"/>
                <w14:textFill>
                  <w14:solidFill>
                    <w14:schemeClr w14:val="tx1"/>
                  </w14:solidFill>
                </w14:textFill>
              </w:rPr>
            </w:pPr>
            <w:r>
              <w:rPr>
                <w:rFonts w:eastAsia="SimSun"/>
                <w:color w:val="000000" w:themeColor="text1"/>
                <w:spacing w:val="-4"/>
                <w:sz w:val="26"/>
                <w:szCs w:val="26"/>
                <w:lang w:val="vi-VN" w:eastAsia="zh-CN" w:bidi="ar"/>
                <w14:textFill>
                  <w14:solidFill>
                    <w14:schemeClr w14:val="tx1"/>
                  </w14:solidFill>
                </w14:textFill>
              </w:rPr>
              <w:t>Trung tâm ĐMST tỉnh Ninh Bình vận hành ổn định và thực hiện đầy đủ chức năng điều phối hệ sinh thái</w:t>
            </w:r>
          </w:p>
        </w:tc>
        <w:tc>
          <w:tcPr>
            <w:tcW w:w="1682" w:type="dxa"/>
            <w:vAlign w:val="center"/>
          </w:tcPr>
          <w:p w14:paraId="0D9FEA56">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Trung tâm</w:t>
            </w:r>
          </w:p>
        </w:tc>
        <w:tc>
          <w:tcPr>
            <w:tcW w:w="1418" w:type="dxa"/>
            <w:vAlign w:val="center"/>
          </w:tcPr>
          <w:p w14:paraId="4AED8EFA">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002A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DA7878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w:t>
            </w:r>
          </w:p>
        </w:tc>
        <w:tc>
          <w:tcPr>
            <w:tcW w:w="5673" w:type="dxa"/>
            <w:vAlign w:val="center"/>
          </w:tcPr>
          <w:p w14:paraId="3F083CD6">
            <w:pPr>
              <w:jc w:val="left"/>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w:t>
            </w:r>
            <w:r>
              <w:rPr>
                <w:rFonts w:eastAsia="SimSun"/>
                <w:color w:val="000000" w:themeColor="text1"/>
                <w:spacing w:val="-4"/>
                <w:sz w:val="26"/>
                <w:szCs w:val="26"/>
                <w:lang w:val="vi-VN" w:eastAsia="zh-CN" w:bidi="ar"/>
                <w14:textFill>
                  <w14:solidFill>
                    <w14:schemeClr w14:val="tx1"/>
                  </w14:solidFill>
                </w14:textFill>
              </w:rPr>
              <w:t>ác Trung tâm ĐMST chuyên ngành vận hành</w:t>
            </w:r>
            <w:r>
              <w:rPr>
                <w:rFonts w:hint="default" w:eastAsia="SimSun"/>
                <w:color w:val="000000" w:themeColor="text1"/>
                <w:spacing w:val="-4"/>
                <w:sz w:val="26"/>
                <w:szCs w:val="26"/>
                <w:lang w:val="en-GB" w:eastAsia="zh-CN" w:bidi="ar"/>
                <w14:textFill>
                  <w14:solidFill>
                    <w14:schemeClr w14:val="tx1"/>
                  </w14:solidFill>
                </w14:textFill>
              </w:rPr>
              <w:t xml:space="preserve"> ổn định và hiệu quả</w:t>
            </w:r>
          </w:p>
        </w:tc>
        <w:tc>
          <w:tcPr>
            <w:tcW w:w="1682" w:type="dxa"/>
            <w:vAlign w:val="center"/>
          </w:tcPr>
          <w:p w14:paraId="3A12A6F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Trung tâm</w:t>
            </w:r>
          </w:p>
        </w:tc>
        <w:tc>
          <w:tcPr>
            <w:tcW w:w="1418" w:type="dxa"/>
            <w:vAlign w:val="center"/>
          </w:tcPr>
          <w:p w14:paraId="789B7D82">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04</w:t>
            </w:r>
          </w:p>
        </w:tc>
      </w:tr>
      <w:tr w14:paraId="21AF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798AC9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3</w:t>
            </w:r>
          </w:p>
        </w:tc>
        <w:tc>
          <w:tcPr>
            <w:tcW w:w="5673" w:type="dxa"/>
            <w:vAlign w:val="center"/>
          </w:tcPr>
          <w:p w14:paraId="07213E4D">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 xml:space="preserve">Mạng lưới </w:t>
            </w:r>
            <w:r>
              <w:rPr>
                <w:rFonts w:eastAsia="SimSun"/>
                <w:color w:val="000000" w:themeColor="text1"/>
                <w:sz w:val="26"/>
                <w:szCs w:val="26"/>
                <w:lang w:val="en-GB" w:eastAsia="zh-CN" w:bidi="ar"/>
                <w14:textFill>
                  <w14:solidFill>
                    <w14:schemeClr w14:val="tx1"/>
                  </w14:solidFill>
                </w14:textFill>
              </w:rPr>
              <w:t>Không gian khởi nghiệp sáng tạo cộng đồng</w:t>
            </w:r>
            <w:r>
              <w:rPr>
                <w:rFonts w:eastAsia="SimSun"/>
                <w:color w:val="000000" w:themeColor="text1"/>
                <w:sz w:val="26"/>
                <w:szCs w:val="26"/>
                <w:lang w:val="vi-VN" w:eastAsia="zh-CN" w:bidi="ar"/>
                <w14:textFill>
                  <w14:solidFill>
                    <w14:schemeClr w14:val="tx1"/>
                  </w14:solidFill>
                </w14:textFill>
              </w:rPr>
              <w:t xml:space="preserve"> được hoàn thiện trên phạm vi toàn tỉnh</w:t>
            </w:r>
          </w:p>
        </w:tc>
        <w:tc>
          <w:tcPr>
            <w:tcW w:w="1682" w:type="dxa"/>
            <w:vAlign w:val="center"/>
          </w:tcPr>
          <w:p w14:paraId="215FC8FC">
            <w:pPr>
              <w:jc w:val="center"/>
              <w:rPr>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GB" w:eastAsia="zh-CN" w:bidi="ar"/>
                <w14:textFill>
                  <w14:solidFill>
                    <w14:schemeClr w14:val="tx1"/>
                  </w14:solidFill>
                </w14:textFill>
              </w:rPr>
              <w:t>Trạm</w:t>
            </w:r>
          </w:p>
        </w:tc>
        <w:tc>
          <w:tcPr>
            <w:tcW w:w="1418" w:type="dxa"/>
            <w:vAlign w:val="center"/>
          </w:tcPr>
          <w:p w14:paraId="72AE3EE4">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20–30</w:t>
            </w:r>
          </w:p>
        </w:tc>
      </w:tr>
      <w:tr w14:paraId="2AD1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6D2CE5C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4</w:t>
            </w:r>
          </w:p>
        </w:tc>
        <w:tc>
          <w:tcPr>
            <w:tcW w:w="5673" w:type="dxa"/>
            <w:vAlign w:val="center"/>
          </w:tcPr>
          <w:p w14:paraId="6E791834">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Tổ chức trung gian hỗ trợ hệ sinh thái ĐMST được hình thành và hoạt động</w:t>
            </w:r>
          </w:p>
        </w:tc>
        <w:tc>
          <w:tcPr>
            <w:tcW w:w="1682" w:type="dxa"/>
            <w:vAlign w:val="center"/>
          </w:tcPr>
          <w:p w14:paraId="36A27336">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Tổ chức</w:t>
            </w:r>
          </w:p>
        </w:tc>
        <w:tc>
          <w:tcPr>
            <w:tcW w:w="1418" w:type="dxa"/>
            <w:vAlign w:val="center"/>
          </w:tcPr>
          <w:p w14:paraId="112A9CE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05–07</w:t>
            </w:r>
          </w:p>
        </w:tc>
      </w:tr>
      <w:tr w14:paraId="31D2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DA089F9">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5</w:t>
            </w:r>
          </w:p>
        </w:tc>
        <w:tc>
          <w:tcPr>
            <w:tcW w:w="5673" w:type="dxa"/>
            <w:vAlign w:val="center"/>
          </w:tcPr>
          <w:p w14:paraId="52D9F344">
            <w:pPr>
              <w:jc w:val="left"/>
              <w:rPr>
                <w:rFonts w:hint="default"/>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Cơ chế hỗ trợ đầu tư cho ĐMST và khởi nghiệp sáng tạo được vận hành</w:t>
            </w:r>
            <w:r>
              <w:rPr>
                <w:rFonts w:hint="default" w:eastAsia="SimSun"/>
                <w:color w:val="000000" w:themeColor="text1"/>
                <w:sz w:val="26"/>
                <w:szCs w:val="26"/>
                <w:lang w:val="en-GB" w:eastAsia="zh-CN" w:bidi="ar"/>
                <w14:textFill>
                  <w14:solidFill>
                    <w14:schemeClr w14:val="tx1"/>
                  </w14:solidFill>
                </w14:textFill>
              </w:rPr>
              <w:t xml:space="preserve"> hiệu quả</w:t>
            </w:r>
          </w:p>
        </w:tc>
        <w:tc>
          <w:tcPr>
            <w:tcW w:w="1682" w:type="dxa"/>
            <w:vAlign w:val="center"/>
          </w:tcPr>
          <w:p w14:paraId="0E56616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Cơ chế</w:t>
            </w:r>
          </w:p>
        </w:tc>
        <w:tc>
          <w:tcPr>
            <w:tcW w:w="1418" w:type="dxa"/>
            <w:vAlign w:val="center"/>
          </w:tcPr>
          <w:p w14:paraId="22E477C1">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5F1C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254D64E">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II</w:t>
            </w:r>
          </w:p>
        </w:tc>
        <w:tc>
          <w:tcPr>
            <w:tcW w:w="5673" w:type="dxa"/>
            <w:vAlign w:val="center"/>
          </w:tcPr>
          <w:p w14:paraId="0BAE2869">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Doanh nghiệp và hoạt động ĐMST</w:t>
            </w:r>
          </w:p>
        </w:tc>
        <w:tc>
          <w:tcPr>
            <w:tcW w:w="1682" w:type="dxa"/>
            <w:vAlign w:val="center"/>
          </w:tcPr>
          <w:p w14:paraId="3350EEDB">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42E8268F">
            <w:pPr>
              <w:jc w:val="center"/>
              <w:rPr>
                <w:b/>
                <w:bCs/>
                <w:color w:val="000000" w:themeColor="text1"/>
                <w:spacing w:val="-8"/>
                <w:sz w:val="26"/>
                <w:szCs w:val="26"/>
                <w:lang w:val="vi-VN"/>
                <w14:textFill>
                  <w14:solidFill>
                    <w14:schemeClr w14:val="tx1"/>
                  </w14:solidFill>
                </w14:textFill>
              </w:rPr>
            </w:pPr>
          </w:p>
        </w:tc>
      </w:tr>
      <w:tr w14:paraId="7B34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30B2D3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6</w:t>
            </w:r>
          </w:p>
        </w:tc>
        <w:tc>
          <w:tcPr>
            <w:tcW w:w="5673" w:type="dxa"/>
            <w:vAlign w:val="center"/>
          </w:tcPr>
          <w:p w14:paraId="6ED1E3BA">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Doanh nghiệp trên địa bàn tỉnh triển khai hoạt động ĐMST, chuyển đổi số hoặc ứng dụng công nghệ mới</w:t>
            </w:r>
          </w:p>
        </w:tc>
        <w:tc>
          <w:tcPr>
            <w:tcW w:w="1682" w:type="dxa"/>
            <w:vAlign w:val="center"/>
          </w:tcPr>
          <w:p w14:paraId="051A4D7C">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doanh nghiệp</w:t>
            </w:r>
          </w:p>
        </w:tc>
        <w:tc>
          <w:tcPr>
            <w:tcW w:w="1418" w:type="dxa"/>
            <w:vAlign w:val="center"/>
          </w:tcPr>
          <w:p w14:paraId="5D1B4BB6">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&gt;40%</w:t>
            </w:r>
          </w:p>
        </w:tc>
      </w:tr>
      <w:tr w14:paraId="21A9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5FD2E38">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7</w:t>
            </w:r>
          </w:p>
        </w:tc>
        <w:tc>
          <w:tcPr>
            <w:tcW w:w="5673" w:type="dxa"/>
            <w:vAlign w:val="center"/>
          </w:tcPr>
          <w:p w14:paraId="7CE2CEDD">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Doanh nghiệp khởi nghiệp sáng tạo, doanh nghiệp khoa học và công nghệ được hình thành và phát triển</w:t>
            </w:r>
          </w:p>
        </w:tc>
        <w:tc>
          <w:tcPr>
            <w:tcW w:w="1682" w:type="dxa"/>
            <w:vAlign w:val="center"/>
          </w:tcPr>
          <w:p w14:paraId="24270127">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Doanh nghiệp</w:t>
            </w:r>
          </w:p>
        </w:tc>
        <w:tc>
          <w:tcPr>
            <w:tcW w:w="1418" w:type="dxa"/>
            <w:vAlign w:val="center"/>
          </w:tcPr>
          <w:p w14:paraId="0763FB3B">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≥150</w:t>
            </w:r>
          </w:p>
        </w:tc>
      </w:tr>
      <w:tr w14:paraId="276D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6599C50">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8</w:t>
            </w:r>
          </w:p>
        </w:tc>
        <w:tc>
          <w:tcPr>
            <w:tcW w:w="5673" w:type="dxa"/>
            <w:vAlign w:val="center"/>
          </w:tcPr>
          <w:p w14:paraId="36CE611C">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Doanh nghiệp thực hiện đổi mới quy trình, mô hình kinh doanh hoặc ứng dụng công nghệ số</w:t>
            </w:r>
          </w:p>
        </w:tc>
        <w:tc>
          <w:tcPr>
            <w:tcW w:w="1682" w:type="dxa"/>
            <w:vAlign w:val="center"/>
          </w:tcPr>
          <w:p w14:paraId="267043EB">
            <w:pPr>
              <w:jc w:val="center"/>
              <w:rPr>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doanh nghiệp</w:t>
            </w:r>
          </w:p>
        </w:tc>
        <w:tc>
          <w:tcPr>
            <w:tcW w:w="1418" w:type="dxa"/>
            <w:vAlign w:val="center"/>
          </w:tcPr>
          <w:p w14:paraId="3BEA528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≥30%</w:t>
            </w:r>
          </w:p>
        </w:tc>
      </w:tr>
      <w:tr w14:paraId="3404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09CB2D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9</w:t>
            </w:r>
          </w:p>
        </w:tc>
        <w:tc>
          <w:tcPr>
            <w:tcW w:w="5673" w:type="dxa"/>
            <w:vAlign w:val="center"/>
          </w:tcPr>
          <w:p w14:paraId="5686EA0E">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Sản phẩm, giải pháp công nghệ hoặc mô hình kinh doanh ĐMST được hỗ trợ thương mại hóa</w:t>
            </w:r>
          </w:p>
        </w:tc>
        <w:tc>
          <w:tcPr>
            <w:tcW w:w="1682" w:type="dxa"/>
            <w:vAlign w:val="center"/>
          </w:tcPr>
          <w:p w14:paraId="10CDFB26">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Sản phẩm</w:t>
            </w:r>
          </w:p>
        </w:tc>
        <w:tc>
          <w:tcPr>
            <w:tcW w:w="1418" w:type="dxa"/>
            <w:vAlign w:val="center"/>
          </w:tcPr>
          <w:p w14:paraId="49288F09">
            <w:pPr>
              <w:jc w:val="center"/>
              <w:rPr>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≥50</w:t>
            </w:r>
          </w:p>
        </w:tc>
      </w:tr>
      <w:tr w14:paraId="0AFF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EA12D10">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10</w:t>
            </w:r>
          </w:p>
        </w:tc>
        <w:tc>
          <w:tcPr>
            <w:tcW w:w="5673" w:type="dxa"/>
            <w:vAlign w:val="center"/>
          </w:tcPr>
          <w:p w14:paraId="284A72D1">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Dự án ĐMST, chuyển đổi số hoặc ứng dụng công nghệ được hỗ trợ phát triển</w:t>
            </w:r>
          </w:p>
        </w:tc>
        <w:tc>
          <w:tcPr>
            <w:tcW w:w="1682" w:type="dxa"/>
            <w:vAlign w:val="center"/>
          </w:tcPr>
          <w:p w14:paraId="4B2371A6">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Dự án</w:t>
            </w:r>
          </w:p>
        </w:tc>
        <w:tc>
          <w:tcPr>
            <w:tcW w:w="1418" w:type="dxa"/>
            <w:vAlign w:val="center"/>
          </w:tcPr>
          <w:p w14:paraId="29CBD036">
            <w:pPr>
              <w:jc w:val="center"/>
              <w:rPr>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≥30</w:t>
            </w:r>
          </w:p>
        </w:tc>
      </w:tr>
      <w:tr w14:paraId="718F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5BD46B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11</w:t>
            </w:r>
          </w:p>
        </w:tc>
        <w:tc>
          <w:tcPr>
            <w:tcW w:w="5673" w:type="dxa"/>
            <w:vAlign w:val="center"/>
          </w:tcPr>
          <w:p w14:paraId="494DEFDB">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Trung tâm R&amp;D hoặc bộ phận R&amp;D của doanh nghiệp trong nước và quốc tế hoạt động tại tỉnh</w:t>
            </w:r>
          </w:p>
        </w:tc>
        <w:tc>
          <w:tcPr>
            <w:tcW w:w="1682" w:type="dxa"/>
            <w:vAlign w:val="center"/>
          </w:tcPr>
          <w:p w14:paraId="4DF7928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Trung tâm</w:t>
            </w:r>
          </w:p>
        </w:tc>
        <w:tc>
          <w:tcPr>
            <w:tcW w:w="1418" w:type="dxa"/>
            <w:vAlign w:val="center"/>
          </w:tcPr>
          <w:p w14:paraId="2DBE1DF0">
            <w:pPr>
              <w:jc w:val="center"/>
              <w:rPr>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01–02</w:t>
            </w:r>
          </w:p>
        </w:tc>
      </w:tr>
      <w:tr w14:paraId="0B04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404AA23">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III</w:t>
            </w:r>
          </w:p>
        </w:tc>
        <w:tc>
          <w:tcPr>
            <w:tcW w:w="5673" w:type="dxa"/>
            <w:vAlign w:val="center"/>
          </w:tcPr>
          <w:p w14:paraId="61FFD84E">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Khoa học, công nghệ và chuyển giao công nghệ</w:t>
            </w:r>
          </w:p>
        </w:tc>
        <w:tc>
          <w:tcPr>
            <w:tcW w:w="1682" w:type="dxa"/>
            <w:vAlign w:val="center"/>
          </w:tcPr>
          <w:p w14:paraId="2F1A0F24">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15C393A6">
            <w:pPr>
              <w:jc w:val="center"/>
              <w:rPr>
                <w:b/>
                <w:bCs/>
                <w:color w:val="000000" w:themeColor="text1"/>
                <w:spacing w:val="-8"/>
                <w:sz w:val="26"/>
                <w:szCs w:val="26"/>
                <w:lang w:val="vi-VN"/>
                <w14:textFill>
                  <w14:solidFill>
                    <w14:schemeClr w14:val="tx1"/>
                  </w14:solidFill>
                </w14:textFill>
              </w:rPr>
            </w:pPr>
          </w:p>
        </w:tc>
      </w:tr>
      <w:tr w14:paraId="42D6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50BA18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12</w:t>
            </w:r>
          </w:p>
        </w:tc>
        <w:tc>
          <w:tcPr>
            <w:tcW w:w="5673" w:type="dxa"/>
            <w:vAlign w:val="center"/>
          </w:tcPr>
          <w:p w14:paraId="1A41BB46">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Tốc độ tăng số lượng đơn đăng ký sáng chế, giải pháp hữu ích và văn bằng bảo hộ sở hữu trí tuệ</w:t>
            </w:r>
          </w:p>
        </w:tc>
        <w:tc>
          <w:tcPr>
            <w:tcW w:w="1682" w:type="dxa"/>
            <w:vAlign w:val="center"/>
          </w:tcPr>
          <w:p w14:paraId="66BA3B7A">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%/năm</w:t>
            </w:r>
          </w:p>
        </w:tc>
        <w:tc>
          <w:tcPr>
            <w:tcW w:w="1418" w:type="dxa"/>
            <w:vAlign w:val="center"/>
          </w:tcPr>
          <w:p w14:paraId="1188A95D">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10–12%</w:t>
            </w:r>
          </w:p>
        </w:tc>
      </w:tr>
      <w:tr w14:paraId="3995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AA865C0">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13</w:t>
            </w:r>
          </w:p>
        </w:tc>
        <w:tc>
          <w:tcPr>
            <w:tcW w:w="5673" w:type="dxa"/>
            <w:vAlign w:val="center"/>
          </w:tcPr>
          <w:p w14:paraId="19544AE6">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Doanh nghiệp nhỏ và vừa tham gia hợp tác nghiên cứu, đổi mới công nghệ hoặc chuyển giao công nghệ với viện, trường</w:t>
            </w:r>
          </w:p>
        </w:tc>
        <w:tc>
          <w:tcPr>
            <w:tcW w:w="1682" w:type="dxa"/>
            <w:vAlign w:val="center"/>
          </w:tcPr>
          <w:p w14:paraId="51CA0C5B">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 doanh nghiệp</w:t>
            </w:r>
          </w:p>
        </w:tc>
        <w:tc>
          <w:tcPr>
            <w:tcW w:w="1418" w:type="dxa"/>
            <w:vAlign w:val="center"/>
          </w:tcPr>
          <w:p w14:paraId="4F48DEB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≥25%</w:t>
            </w:r>
          </w:p>
        </w:tc>
      </w:tr>
      <w:tr w14:paraId="11FB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936EAE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14</w:t>
            </w:r>
          </w:p>
        </w:tc>
        <w:tc>
          <w:tcPr>
            <w:tcW w:w="5673" w:type="dxa"/>
            <w:vAlign w:val="center"/>
          </w:tcPr>
          <w:p w14:paraId="5ADF97E8">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Mạng lưới liên kết doanh nghiệp – cơ sở giáo dục – tổ chức KH&amp;CN được duy trì và mở rộng</w:t>
            </w:r>
          </w:p>
        </w:tc>
        <w:tc>
          <w:tcPr>
            <w:tcW w:w="1682" w:type="dxa"/>
            <w:vAlign w:val="center"/>
          </w:tcPr>
          <w:p w14:paraId="4ED38B41">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Mạng lưới</w:t>
            </w:r>
          </w:p>
        </w:tc>
        <w:tc>
          <w:tcPr>
            <w:tcW w:w="1418" w:type="dxa"/>
            <w:vAlign w:val="center"/>
          </w:tcPr>
          <w:p w14:paraId="24920CA4">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Hoàn thiện</w:t>
            </w:r>
          </w:p>
        </w:tc>
      </w:tr>
      <w:tr w14:paraId="7D44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D9FA246">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IV</w:t>
            </w:r>
          </w:p>
        </w:tc>
        <w:tc>
          <w:tcPr>
            <w:tcW w:w="5673" w:type="dxa"/>
            <w:vAlign w:val="center"/>
          </w:tcPr>
          <w:p w14:paraId="7021414D">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Nguồn nhân lực và năng lực hệ sinh thái</w:t>
            </w:r>
          </w:p>
        </w:tc>
        <w:tc>
          <w:tcPr>
            <w:tcW w:w="1682" w:type="dxa"/>
            <w:vAlign w:val="center"/>
          </w:tcPr>
          <w:p w14:paraId="46D31A23">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2B9E9199">
            <w:pPr>
              <w:jc w:val="center"/>
              <w:rPr>
                <w:b/>
                <w:bCs/>
                <w:color w:val="000000" w:themeColor="text1"/>
                <w:spacing w:val="-8"/>
                <w:sz w:val="26"/>
                <w:szCs w:val="26"/>
                <w:lang w:val="vi-VN"/>
                <w14:textFill>
                  <w14:solidFill>
                    <w14:schemeClr w14:val="tx1"/>
                  </w14:solidFill>
                </w14:textFill>
              </w:rPr>
            </w:pPr>
          </w:p>
        </w:tc>
      </w:tr>
      <w:tr w14:paraId="1792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5670E17">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15</w:t>
            </w:r>
          </w:p>
        </w:tc>
        <w:tc>
          <w:tcPr>
            <w:tcW w:w="5673" w:type="dxa"/>
            <w:vAlign w:val="center"/>
          </w:tcPr>
          <w:p w14:paraId="1D945383">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Trường đại học, cơ sở giáo dục nghề nghiệp, viện nghiên cứu và tổ chức đào tạo chất lượng cao tham gia hệ sinh thái</w:t>
            </w:r>
          </w:p>
        </w:tc>
        <w:tc>
          <w:tcPr>
            <w:tcW w:w="1682" w:type="dxa"/>
            <w:vAlign w:val="center"/>
          </w:tcPr>
          <w:p w14:paraId="5E54832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Đơn vị</w:t>
            </w:r>
          </w:p>
        </w:tc>
        <w:tc>
          <w:tcPr>
            <w:tcW w:w="1418" w:type="dxa"/>
            <w:vAlign w:val="center"/>
          </w:tcPr>
          <w:p w14:paraId="6B397D8F">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≥20</w:t>
            </w:r>
          </w:p>
        </w:tc>
      </w:tr>
      <w:tr w14:paraId="4578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615B331">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16</w:t>
            </w:r>
          </w:p>
        </w:tc>
        <w:tc>
          <w:tcPr>
            <w:tcW w:w="5673" w:type="dxa"/>
            <w:vAlign w:val="center"/>
          </w:tcPr>
          <w:p w14:paraId="39885BA2">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Mạng lưới chuyên gia, mentor, cố vấn và đối tác hỗ trợ ĐMST</w:t>
            </w:r>
          </w:p>
        </w:tc>
        <w:tc>
          <w:tcPr>
            <w:tcW w:w="1682" w:type="dxa"/>
            <w:vAlign w:val="center"/>
          </w:tcPr>
          <w:p w14:paraId="3F3020DB">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Người</w:t>
            </w:r>
          </w:p>
        </w:tc>
        <w:tc>
          <w:tcPr>
            <w:tcW w:w="1418" w:type="dxa"/>
            <w:vAlign w:val="center"/>
          </w:tcPr>
          <w:p w14:paraId="34694495">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≥150</w:t>
            </w:r>
          </w:p>
        </w:tc>
      </w:tr>
      <w:tr w14:paraId="0AFB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53D69E9">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17</w:t>
            </w:r>
          </w:p>
        </w:tc>
        <w:tc>
          <w:tcPr>
            <w:tcW w:w="5673" w:type="dxa"/>
            <w:vAlign w:val="center"/>
          </w:tcPr>
          <w:p w14:paraId="6014E224">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Cán bộ quản lý, doanh nghiệp, startup và người lao động được đào tạo, bồi dưỡng về ĐMST, chuyển đổi số và quản trị công nghệ</w:t>
            </w:r>
          </w:p>
        </w:tc>
        <w:tc>
          <w:tcPr>
            <w:tcW w:w="1682" w:type="dxa"/>
            <w:vAlign w:val="center"/>
          </w:tcPr>
          <w:p w14:paraId="1C345865">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Người</w:t>
            </w:r>
          </w:p>
        </w:tc>
        <w:tc>
          <w:tcPr>
            <w:tcW w:w="1418" w:type="dxa"/>
            <w:vAlign w:val="center"/>
          </w:tcPr>
          <w:p w14:paraId="1F2FE1F3">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≥5.000</w:t>
            </w:r>
          </w:p>
        </w:tc>
      </w:tr>
      <w:tr w14:paraId="5CBE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F455EC4">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18</w:t>
            </w:r>
          </w:p>
        </w:tc>
        <w:tc>
          <w:tcPr>
            <w:tcW w:w="5673" w:type="dxa"/>
            <w:vAlign w:val="center"/>
          </w:tcPr>
          <w:p w14:paraId="23518FF9">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Cộng đồng ĐMST mở được hình thành và duy trì hoạt động thường xuyên</w:t>
            </w:r>
          </w:p>
        </w:tc>
        <w:tc>
          <w:tcPr>
            <w:tcW w:w="1682" w:type="dxa"/>
            <w:vAlign w:val="center"/>
          </w:tcPr>
          <w:p w14:paraId="0B0D0639">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Cộng đồng</w:t>
            </w:r>
          </w:p>
        </w:tc>
        <w:tc>
          <w:tcPr>
            <w:tcW w:w="1418" w:type="dxa"/>
            <w:vAlign w:val="center"/>
          </w:tcPr>
          <w:p w14:paraId="0DB4661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01</w:t>
            </w:r>
          </w:p>
        </w:tc>
      </w:tr>
      <w:tr w14:paraId="5131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A25AFA3">
            <w:pPr>
              <w:jc w:val="center"/>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en-US" w:eastAsia="zh-CN" w:bidi="ar"/>
                <w14:textFill>
                  <w14:solidFill>
                    <w14:schemeClr w14:val="tx1"/>
                  </w14:solidFill>
                </w14:textFill>
              </w:rPr>
              <w:t>V</w:t>
            </w:r>
          </w:p>
        </w:tc>
        <w:tc>
          <w:tcPr>
            <w:tcW w:w="5673" w:type="dxa"/>
            <w:vAlign w:val="center"/>
          </w:tcPr>
          <w:p w14:paraId="62CFB018">
            <w:pPr>
              <w:jc w:val="left"/>
              <w:rPr>
                <w:b/>
                <w:bCs/>
                <w:color w:val="000000" w:themeColor="text1"/>
                <w:spacing w:val="-8"/>
                <w:sz w:val="26"/>
                <w:szCs w:val="26"/>
                <w:lang w:val="vi-VN"/>
                <w14:textFill>
                  <w14:solidFill>
                    <w14:schemeClr w14:val="tx1"/>
                  </w14:solidFill>
                </w14:textFill>
              </w:rPr>
            </w:pPr>
            <w:r>
              <w:rPr>
                <w:rStyle w:val="24"/>
                <w:rFonts w:eastAsia="SimSun"/>
                <w:color w:val="000000" w:themeColor="text1"/>
                <w:sz w:val="26"/>
                <w:szCs w:val="26"/>
                <w:lang w:val="vi-VN" w:eastAsia="zh-CN" w:bidi="ar"/>
                <w14:textFill>
                  <w14:solidFill>
                    <w14:schemeClr w14:val="tx1"/>
                  </w14:solidFill>
                </w14:textFill>
              </w:rPr>
              <w:t>Vị thế và năng lực cạnh tranh của tỉnh</w:t>
            </w:r>
          </w:p>
        </w:tc>
        <w:tc>
          <w:tcPr>
            <w:tcW w:w="1682" w:type="dxa"/>
            <w:vAlign w:val="center"/>
          </w:tcPr>
          <w:p w14:paraId="54A3652E">
            <w:pPr>
              <w:jc w:val="center"/>
              <w:rPr>
                <w:b/>
                <w:bCs/>
                <w:color w:val="000000" w:themeColor="text1"/>
                <w:spacing w:val="-8"/>
                <w:sz w:val="26"/>
                <w:szCs w:val="26"/>
                <w:lang w:val="vi-VN"/>
                <w14:textFill>
                  <w14:solidFill>
                    <w14:schemeClr w14:val="tx1"/>
                  </w14:solidFill>
                </w14:textFill>
              </w:rPr>
            </w:pPr>
          </w:p>
        </w:tc>
        <w:tc>
          <w:tcPr>
            <w:tcW w:w="1418" w:type="dxa"/>
            <w:vAlign w:val="center"/>
          </w:tcPr>
          <w:p w14:paraId="1B6D7519">
            <w:pPr>
              <w:jc w:val="center"/>
              <w:rPr>
                <w:b/>
                <w:bCs/>
                <w:color w:val="000000" w:themeColor="text1"/>
                <w:spacing w:val="-8"/>
                <w:sz w:val="26"/>
                <w:szCs w:val="26"/>
                <w:lang w:val="vi-VN"/>
                <w14:textFill>
                  <w14:solidFill>
                    <w14:schemeClr w14:val="tx1"/>
                  </w14:solidFill>
                </w14:textFill>
              </w:rPr>
            </w:pPr>
          </w:p>
        </w:tc>
      </w:tr>
      <w:tr w14:paraId="2866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5A9D77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19</w:t>
            </w:r>
          </w:p>
        </w:tc>
        <w:tc>
          <w:tcPr>
            <w:tcW w:w="5673" w:type="dxa"/>
            <w:vAlign w:val="center"/>
          </w:tcPr>
          <w:p w14:paraId="5FBCC05B">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Chỉ số Đổi mới sáng tạo cấp địa phương (PII)</w:t>
            </w:r>
          </w:p>
        </w:tc>
        <w:tc>
          <w:tcPr>
            <w:tcW w:w="1682" w:type="dxa"/>
            <w:vAlign w:val="center"/>
          </w:tcPr>
          <w:p w14:paraId="672C5D1D">
            <w:pPr>
              <w:jc w:val="center"/>
              <w:rPr>
                <w:b/>
                <w:bCs/>
                <w:color w:val="000000" w:themeColor="text1"/>
                <w:spacing w:val="-8"/>
                <w:sz w:val="26"/>
                <w:szCs w:val="26"/>
                <w:lang w:val="en-GB"/>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Thứ hạng</w:t>
            </w:r>
          </w:p>
        </w:tc>
        <w:tc>
          <w:tcPr>
            <w:tcW w:w="1418" w:type="dxa"/>
            <w:vAlign w:val="center"/>
          </w:tcPr>
          <w:p w14:paraId="2BFD1D9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Nhóm 10 tỉnh, thành phố dẫn đầu</w:t>
            </w:r>
          </w:p>
        </w:tc>
      </w:tr>
      <w:tr w14:paraId="42F7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6D5ED348">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20</w:t>
            </w:r>
          </w:p>
        </w:tc>
        <w:tc>
          <w:tcPr>
            <w:tcW w:w="5673" w:type="dxa"/>
            <w:vAlign w:val="center"/>
          </w:tcPr>
          <w:p w14:paraId="69DC5123">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Chỉ số cải cách hành chính, chuyển đổi số và ứng dụng KH&amp;CN trong quản trị, điều hành</w:t>
            </w:r>
          </w:p>
        </w:tc>
        <w:tc>
          <w:tcPr>
            <w:tcW w:w="1682" w:type="dxa"/>
            <w:vAlign w:val="center"/>
          </w:tcPr>
          <w:p w14:paraId="44219FC7">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Thứ hạng</w:t>
            </w:r>
          </w:p>
        </w:tc>
        <w:tc>
          <w:tcPr>
            <w:tcW w:w="1418" w:type="dxa"/>
            <w:vAlign w:val="center"/>
          </w:tcPr>
          <w:p w14:paraId="58FB7CFE">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Nhóm dẫn đầu cả nước</w:t>
            </w:r>
          </w:p>
        </w:tc>
      </w:tr>
      <w:tr w14:paraId="6D55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98B6E58">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21</w:t>
            </w:r>
          </w:p>
        </w:tc>
        <w:tc>
          <w:tcPr>
            <w:tcW w:w="5673" w:type="dxa"/>
            <w:vAlign w:val="center"/>
          </w:tcPr>
          <w:p w14:paraId="1514ECC7">
            <w:pPr>
              <w:jc w:val="left"/>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vi-VN" w:eastAsia="zh-CN" w:bidi="ar"/>
                <w14:textFill>
                  <w14:solidFill>
                    <w14:schemeClr w14:val="tx1"/>
                  </w14:solidFill>
                </w14:textFill>
              </w:rPr>
              <w:t>Tỷ trọng đóng góp của TFP vào tăng trưởng GRDP</w:t>
            </w:r>
          </w:p>
        </w:tc>
        <w:tc>
          <w:tcPr>
            <w:tcW w:w="1682" w:type="dxa"/>
            <w:vAlign w:val="center"/>
          </w:tcPr>
          <w:p w14:paraId="5ECC5AB8">
            <w:pPr>
              <w:jc w:val="center"/>
              <w:rPr>
                <w:b/>
                <w:bCs/>
                <w:color w:val="000000" w:themeColor="text1"/>
                <w:spacing w:val="-8"/>
                <w:sz w:val="26"/>
                <w:szCs w:val="26"/>
                <w:lang w:val="en-US"/>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w:t>
            </w:r>
          </w:p>
        </w:tc>
        <w:tc>
          <w:tcPr>
            <w:tcW w:w="1418" w:type="dxa"/>
            <w:vAlign w:val="center"/>
          </w:tcPr>
          <w:p w14:paraId="60C1292C">
            <w:pPr>
              <w:jc w:val="center"/>
              <w:rPr>
                <w:b/>
                <w:bCs/>
                <w:color w:val="000000" w:themeColor="text1"/>
                <w:spacing w:val="-8"/>
                <w:sz w:val="26"/>
                <w:szCs w:val="26"/>
                <w:lang w:val="vi-VN"/>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&gt;57%</w:t>
            </w:r>
          </w:p>
        </w:tc>
      </w:tr>
      <w:tr w14:paraId="2D74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F2FBFF7">
            <w:pPr>
              <w:jc w:val="center"/>
              <w:rPr>
                <w:rFonts w:eastAsia="SimSun"/>
                <w:color w:val="000000" w:themeColor="text1"/>
                <w:sz w:val="26"/>
                <w:szCs w:val="26"/>
                <w:lang w:val="en-GB"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22</w:t>
            </w:r>
          </w:p>
        </w:tc>
        <w:tc>
          <w:tcPr>
            <w:tcW w:w="5673" w:type="dxa"/>
            <w:vAlign w:val="center"/>
          </w:tcPr>
          <w:p w14:paraId="65E4697A">
            <w:pPr>
              <w:jc w:val="left"/>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Khoa học, công nghệ, ĐMST và kinh tế số trở thành động lực tăng trưởng quan trọng của tỉnh</w:t>
            </w:r>
          </w:p>
        </w:tc>
        <w:tc>
          <w:tcPr>
            <w:tcW w:w="1682" w:type="dxa"/>
            <w:vAlign w:val="center"/>
          </w:tcPr>
          <w:p w14:paraId="06AF6C2D">
            <w:pPr>
              <w:jc w:val="center"/>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Kết quả</w:t>
            </w:r>
          </w:p>
        </w:tc>
        <w:tc>
          <w:tcPr>
            <w:tcW w:w="1418" w:type="dxa"/>
            <w:vAlign w:val="center"/>
          </w:tcPr>
          <w:p w14:paraId="12D5C1AF">
            <w:pPr>
              <w:jc w:val="center"/>
              <w:rPr>
                <w:rFonts w:eastAsia="SimSun"/>
                <w:color w:val="000000" w:themeColor="text1"/>
                <w:sz w:val="26"/>
                <w:szCs w:val="26"/>
                <w:lang w:val="en-US" w:eastAsia="zh-CN" w:bidi="ar"/>
                <w14:textFill>
                  <w14:solidFill>
                    <w14:schemeClr w14:val="tx1"/>
                  </w14:solidFill>
                </w14:textFill>
              </w:rPr>
            </w:pPr>
            <w:r>
              <w:rPr>
                <w:rFonts w:eastAsia="SimSun"/>
                <w:color w:val="000000" w:themeColor="text1"/>
                <w:sz w:val="26"/>
                <w:szCs w:val="26"/>
                <w:lang w:val="en-US" w:eastAsia="zh-CN" w:bidi="ar"/>
                <w14:textFill>
                  <w14:solidFill>
                    <w14:schemeClr w14:val="tx1"/>
                  </w14:solidFill>
                </w14:textFill>
              </w:rPr>
              <w:t>Hoàn thành</w:t>
            </w:r>
          </w:p>
        </w:tc>
      </w:tr>
    </w:tbl>
    <w:p w14:paraId="573F6B91">
      <w:pPr>
        <w:pStyle w:val="2"/>
        <w:spacing w:before="120" w:line="312" w:lineRule="auto"/>
        <w:jc w:val="center"/>
        <w:rPr>
          <w:color w:val="000000" w:themeColor="text1"/>
          <w:lang w:val="vi-VN"/>
          <w14:textFill>
            <w14:solidFill>
              <w14:schemeClr w14:val="tx1"/>
            </w14:solidFill>
          </w14:textFill>
        </w:rPr>
      </w:pPr>
      <w:bookmarkStart w:id="124" w:name="_do9lp4dmsnkv" w:colFirst="0" w:colLast="0"/>
      <w:bookmarkEnd w:id="124"/>
      <w:bookmarkStart w:id="125" w:name="_Toc233183713"/>
      <w:r>
        <w:rPr>
          <w:color w:val="000000" w:themeColor="text1"/>
          <w:lang w:val="vi-VN"/>
          <w14:textFill>
            <w14:solidFill>
              <w14:schemeClr w14:val="tx1"/>
            </w14:solidFill>
          </w14:textFill>
        </w:rPr>
        <w:t>PHẦN VII -  CÁC NHIỆM VỤ CẦN TRIỂN KHAI</w:t>
      </w:r>
      <w:bookmarkEnd w:id="125"/>
    </w:p>
    <w:p w14:paraId="6E2BFA7A">
      <w:pPr>
        <w:pStyle w:val="4"/>
        <w:rPr>
          <w:rFonts w:hint="default"/>
          <w:color w:val="000000" w:themeColor="text1"/>
          <w:lang w:val="en-GB"/>
          <w14:textFill>
            <w14:solidFill>
              <w14:schemeClr w14:val="tx1"/>
            </w14:solidFill>
          </w14:textFill>
        </w:rPr>
      </w:pPr>
      <w:r>
        <w:rPr>
          <w:color w:val="000000" w:themeColor="text1"/>
          <w:lang w:val="vi-VN"/>
          <w14:textFill>
            <w14:solidFill>
              <w14:schemeClr w14:val="tx1"/>
            </w14:solidFill>
          </w14:textFill>
        </w:rPr>
        <w:t>7.</w:t>
      </w:r>
      <w:r>
        <w:rPr>
          <w:rFonts w:hint="default"/>
          <w:color w:val="000000" w:themeColor="text1"/>
          <w:lang w:val="en-GB"/>
          <w14:textFill>
            <w14:solidFill>
              <w14:schemeClr w14:val="tx1"/>
            </w14:solidFill>
          </w14:textFill>
        </w:rPr>
        <w:t>2</w:t>
      </w:r>
      <w:r>
        <w:rPr>
          <w:color w:val="000000" w:themeColor="text1"/>
          <w:lang w:val="vi-VN"/>
          <w14:textFill>
            <w14:solidFill>
              <w14:schemeClr w14:val="tx1"/>
            </w14:solidFill>
          </w14:textFill>
        </w:rPr>
        <w:t>.</w:t>
      </w:r>
      <w:r>
        <w:rPr>
          <w:rFonts w:hint="default"/>
          <w:color w:val="000000" w:themeColor="text1"/>
          <w:lang w:val="en-GB"/>
          <w14:textFill>
            <w14:solidFill>
              <w14:schemeClr w14:val="tx1"/>
            </w14:solidFill>
          </w14:textFill>
        </w:rPr>
        <w:t xml:space="preserve"> Lộ trình triển khai</w:t>
      </w:r>
    </w:p>
    <w:p w14:paraId="124528CC">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Trên cơ sở các nguyên tắc nêu trên, các nhiệm vụ của Đề án được xây dựng theo lộ trình ba giai đoạn nhằm bảo đảm tính khả thi, phù hợp với năng lực huy động nguồn lực và từng bước hình thành hệ sinh thái đổi mới sáng tạo hoàn chỉnh.</w:t>
      </w:r>
    </w:p>
    <w:p w14:paraId="28427B02">
      <w:pPr>
        <w:spacing w:before="80" w:after="80" w:line="360"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Giai đoạn 1 (2026–2027): Kiến tạo nền tảng</w:t>
      </w:r>
    </w:p>
    <w:p w14:paraId="6766C04B">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Ưu tiên hoàn thiện cơ chế, chính sách; xây dựng và đưa vào vận hành các thiết chế hạt nhân của hệ sinh thái; phát triển hạ tầng và nền tảng hỗ trợ </w:t>
      </w:r>
      <w:r>
        <w:rPr>
          <w:color w:val="000000" w:themeColor="text1"/>
          <w:sz w:val="26"/>
          <w:szCs w:val="26"/>
          <w:lang w:val="en-GB"/>
          <w14:textFill>
            <w14:solidFill>
              <w14:schemeClr w14:val="tx1"/>
            </w14:solidFill>
          </w14:textFill>
        </w:rPr>
        <w:t>Đ</w:t>
      </w:r>
      <w:r>
        <w:rPr>
          <w:rFonts w:hint="default"/>
          <w:color w:val="000000" w:themeColor="text1"/>
          <w:sz w:val="26"/>
          <w:szCs w:val="26"/>
          <w:lang w:val="en-GB"/>
          <w14:textFill>
            <w14:solidFill>
              <w14:schemeClr w14:val="tx1"/>
            </w14:solidFill>
          </w14:textFill>
        </w:rPr>
        <w:t>MST</w:t>
      </w:r>
      <w:r>
        <w:rPr>
          <w:color w:val="000000" w:themeColor="text1"/>
          <w:sz w:val="26"/>
          <w:szCs w:val="26"/>
          <w:lang w:val="vi-VN"/>
          <w14:textFill>
            <w14:solidFill>
              <w14:schemeClr w14:val="tx1"/>
            </w14:solidFill>
          </w14:textFill>
        </w:rPr>
        <w:t>; hình thành các mô hình, chương trình và mạng lưới hỗ trợ doanh nghiệp theo hướng thí điểm để kiểm chứng tính hiệu quả trước khi mở rộng.</w:t>
      </w:r>
    </w:p>
    <w:p w14:paraId="5056D649">
      <w:pPr>
        <w:spacing w:before="80" w:after="80" w:line="360"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Giai đoạn 2 (2027–2028): Tăng tốc và mở rộng</w:t>
      </w:r>
    </w:p>
    <w:p w14:paraId="734EE673">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Trên cơ sở kết quả giai đoạn thí điểm, tập trung phát triển các trung tâm đổi mới sáng tạo chuyên ngành; mở rộng mạng lưới </w:t>
      </w:r>
      <w:r>
        <w:rPr>
          <w:rFonts w:hint="default"/>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thúc đẩy liên kết giữa doanh nghiệp, cơ sở đào tạo, viện nghiên cứu và các tổ chức trung gian; hình thành các chuỗi đổi mới sáng tạo theo ngành, lĩnh vực và từng bước mở rộng quy mô hỗ trợ doanh nghiệp.</w:t>
      </w:r>
    </w:p>
    <w:p w14:paraId="04F9132F">
      <w:pPr>
        <w:spacing w:before="80" w:after="80" w:line="360" w:lineRule="auto"/>
        <w:ind w:firstLine="720"/>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Giai đoạn 3 (2029–2030): Bứt phá và hội nhập quốc tế</w:t>
      </w:r>
    </w:p>
    <w:p w14:paraId="22DF01FA">
      <w:pPr>
        <w:spacing w:before="80" w:after="80" w:line="360"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Tiếp tục hoàn thiện hệ sinh thái đổi mới sáng tạo theo hướng mở, liên kết và tự vận hành; tăng cường kết nối với hệ sinh thái đổi mới sáng tạo quốc gia và quốc tế; thúc đẩy thương mại hóa công nghệ, phát triển doanh nghiệp đổi mới sáng tạo và hình thành các cực tăng trưởng mới dựa trên khoa học, công nghệ và đổi mới sáng tạo, góp phần nâng cao năng lực cạnh tranh và vị thế của tỉnh trong vùng Đồng bằng sông Hồng và cả nước.</w:t>
      </w:r>
    </w:p>
    <w:p w14:paraId="74F00891">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Trên cơ sở lộ trình nêu trên, các nhiệm vụ trọng tâm của Đề án được xác định và phân công cho các cơ quan, đơn vị chủ trì thực hiện theo Phụ lục I. Mỗi nhiệm vụ được xác định rõ mục tiêu, cơ quan chủ trì, đơn vị phối hợp, thời gian thực hiện và kết quả đầu ra nhằm bảo đảm tính thống nhất trong tổ chức triển khai và thuận lợi cho công tác theo dõi, đánh giá.</w:t>
      </w:r>
    </w:p>
    <w:p w14:paraId="3E915456">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Danh mục nhiệm vụ là căn cứ để huy động, phân bổ và sử dụng hiệu quả các nguồn lực của Nhà nước, doanh nghiệp và xã hội; đồng thời tăng cường sự phối hợp giữa các sở, ban, ngành, địa phương, cơ sở giáo dục, viện nghiên cứu, doanh nghiệp và các tổ chức hỗ trợ đổi mới sáng tạo. Trong quá trình thực hiện, căn cứ tình hình phát triển kinh tế - xã hội, yêu cầu thực tiễn, kết quả đánh giá định kỳ và khả năng huy động nguồn lực, các nhiệm vụ có thể được rà soát, điều chỉnh hoặc bổ sung nhằm bảo đảm tính linh hoạt, khả thi và hiệu quả của Đề án.</w:t>
      </w:r>
    </w:p>
    <w:p w14:paraId="5D406A50">
      <w:pPr>
        <w:spacing w:before="80" w:after="80" w:line="360" w:lineRule="auto"/>
        <w:ind w:firstLine="720"/>
        <w:rPr>
          <w:color w:val="000000" w:themeColor="text1"/>
          <w:spacing w:val="-8"/>
          <w:sz w:val="26"/>
          <w:szCs w:val="26"/>
          <w:lang w:val="vi-VN"/>
          <w14:textFill>
            <w14:solidFill>
              <w14:schemeClr w14:val="tx1"/>
            </w14:solidFill>
          </w14:textFill>
        </w:rPr>
      </w:pPr>
      <w:r>
        <w:rPr>
          <w:color w:val="000000" w:themeColor="text1"/>
          <w:spacing w:val="-8"/>
          <w:sz w:val="26"/>
          <w:szCs w:val="26"/>
          <w:lang w:val="vi-VN"/>
          <w14:textFill>
            <w14:solidFill>
              <w14:schemeClr w14:val="tx1"/>
            </w14:solidFill>
          </w14:textFill>
        </w:rPr>
        <w:t>Đến năm 2030, hệ sinh thái</w:t>
      </w:r>
      <w:r>
        <w:rPr>
          <w:rFonts w:hint="default"/>
          <w:color w:val="000000" w:themeColor="text1"/>
          <w:spacing w:val="-8"/>
          <w:sz w:val="26"/>
          <w:szCs w:val="26"/>
          <w:lang w:val="en-GB"/>
          <w14:textFill>
            <w14:solidFill>
              <w14:schemeClr w14:val="tx1"/>
            </w14:solidFill>
          </w14:textFill>
        </w:rPr>
        <w:t xml:space="preserve"> ĐMST</w:t>
      </w:r>
      <w:r>
        <w:rPr>
          <w:color w:val="000000" w:themeColor="text1"/>
          <w:spacing w:val="-8"/>
          <w:sz w:val="26"/>
          <w:szCs w:val="26"/>
          <w:lang w:val="vi-VN"/>
          <w14:textFill>
            <w14:solidFill>
              <w14:schemeClr w14:val="tx1"/>
            </w14:solidFill>
          </w14:textFill>
        </w:rPr>
        <w:t xml:space="preserve"> của tỉnh được kỳ vọng phát triển theo mô hình mở, liên kết chặt chẽ và có khả năng tự vận hành; trong đó doanh nghiệp giữ vai trò trung tâm của hoạt động đổi mới sáng tạo; các cơ sở giáo dục, viện nghiên cứu và tổ chức khoa học và công nghệ cung cấp tri thức, công nghệ và nguồn nhân lực; các tổ chức trung gian thực hiện chức năng kết nối và hỗ trợ; còn chính quyền địa phương giữ vai trò kiến tạo môi trường, điều phối hệ sinh thái và huy động các nguồn lực phát triển. </w:t>
      </w:r>
    </w:p>
    <w:p w14:paraId="3DD58D56">
      <w:pPr>
        <w:pStyle w:val="2"/>
        <w:spacing w:before="120" w:line="312" w:lineRule="auto"/>
        <w:jc w:val="center"/>
        <w:rPr>
          <w:color w:val="000000" w:themeColor="text1"/>
          <w:lang w:val="vi-VN"/>
          <w14:textFill>
            <w14:solidFill>
              <w14:schemeClr w14:val="tx1"/>
            </w14:solidFill>
          </w14:textFill>
        </w:rPr>
      </w:pPr>
      <w:bookmarkStart w:id="126" w:name="_Toc233183714"/>
      <w:bookmarkStart w:id="127" w:name="_Hlk231566677"/>
      <w:r>
        <w:rPr>
          <w:color w:val="000000" w:themeColor="text1"/>
          <w:lang w:val="vi-VN"/>
          <w14:textFill>
            <w14:solidFill>
              <w14:schemeClr w14:val="tx1"/>
            </w14:solidFill>
          </w14:textFill>
        </w:rPr>
        <w:t>PHẦN VIII</w:t>
      </w:r>
      <w:r>
        <w:rPr>
          <w:lang w:val="vi-VN"/>
        </w:rPr>
        <w:t xml:space="preserve"> – </w:t>
      </w:r>
      <w:r>
        <w:rPr>
          <w:color w:val="000000" w:themeColor="text1"/>
          <w:lang w:val="vi-VN"/>
          <w14:textFill>
            <w14:solidFill>
              <w14:schemeClr w14:val="tx1"/>
            </w14:solidFill>
          </w14:textFill>
        </w:rPr>
        <w:t>TỔ CHỨC THỰC HIỆN</w:t>
      </w:r>
      <w:bookmarkEnd w:id="126"/>
    </w:p>
    <w:p w14:paraId="449BFEA0">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Triển khai Đề án đòi hỏi sự phối hợp đồng bộ và trách nhiệm giải trình rõ ràng của toàn bộ hệ thống chính trị tỉnh Ninh Bình. Mỗi cơ quan, đơn vị được phân công nhiệm vụ </w:t>
      </w:r>
      <w:bookmarkEnd w:id="127"/>
      <w:r>
        <w:rPr>
          <w:color w:val="000000" w:themeColor="text1"/>
          <w:sz w:val="26"/>
          <w:szCs w:val="26"/>
          <w:lang w:val="vi-VN"/>
          <w14:textFill>
            <w14:solidFill>
              <w14:schemeClr w14:val="tx1"/>
            </w14:solidFill>
          </w14:textFill>
        </w:rPr>
        <w:t>cụ thể theo nguyên tắc: đầu mối chịu trách nhiệm chính – các đơn vị phối hợp hỗ trợ – kết quả đầu ra có thể đo lường và kiểm chứng. UBND tỉnh Ninh Bình chịu trách nhiệm chỉ đạo toàn diện, bảo đảm điều kiện nguồn lực và định kỳ kiểm tra đánh giá kết quả thực hiện. Sở Khoa học và Công nghệ là cơ quan đầu mối điều phối, chịu trách nhiệm trước UBND tỉnh về kết quả tổng thể của Đề án.</w:t>
      </w:r>
    </w:p>
    <w:p w14:paraId="357D92FB">
      <w:pPr>
        <w:pStyle w:val="3"/>
        <w:rPr>
          <w:rFonts w:hint="default"/>
          <w:color w:val="000000" w:themeColor="text1"/>
          <w:lang w:val="vi-VN"/>
          <w14:textFill>
            <w14:solidFill>
              <w14:schemeClr w14:val="tx1"/>
            </w14:solidFill>
          </w14:textFill>
        </w:rPr>
      </w:pPr>
      <w:r>
        <w:rPr>
          <w:rFonts w:hint="default"/>
          <w:color w:val="000000" w:themeColor="text1"/>
          <w:lang w:val="vi-VN"/>
          <w14:textFill>
            <w14:solidFill>
              <w14:schemeClr w14:val="tx1"/>
            </w14:solidFill>
          </w14:textFill>
        </w:rPr>
        <w:t>I. NGUYÊN TẮC TỔ CHỨC THỰC HIỆN</w:t>
      </w:r>
    </w:p>
    <w:p w14:paraId="627720FA">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Để bảo đảm các mục tiêu của Đề án được triển khai đồng bộ, hiệu quả, phù hợp với điều kiện thực tiễn và từng bước hình thành hệ sinh thái đổi mới sáng tạo phát triển bền vững, việc tổ chức thực hiện các nhiệm vụ cần tuân thủ các nguyên tắc sau:</w:t>
      </w:r>
    </w:p>
    <w:p w14:paraId="39751A1B">
      <w:pPr>
        <w:spacing w:before="80" w:after="80" w:line="360"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 xml:space="preserve">Thứ nhất, </w:t>
      </w:r>
      <w:r>
        <w:rPr>
          <w:color w:val="000000" w:themeColor="text1"/>
          <w:sz w:val="26"/>
          <w:szCs w:val="26"/>
          <w:lang w:val="vi-VN"/>
          <w14:textFill>
            <w14:solidFill>
              <w14:schemeClr w14:val="tx1"/>
            </w14:solidFill>
          </w14:textFill>
        </w:rPr>
        <w:t>triển khai theo lộ trình, có trọng tâm, trọng điểm. Việc triển khai Đề án được thực hiện theo từng giai đoạn phù hợp với điều kiện phát triển và khả năng huy động nguồn lực của tỉnh; ưu tiên xây dựng các thiết chế nền tảng, hoàn thiện cơ chế, chính sách và các mô hình hỗ trợ đổi mới sáng tạo trong giai đoạn đầu trước khi mở rộng quy mô. Nguồn lực được tập trung cho các lĩnh vực có lợi thế cạnh tranh, các nhiệm vụ có tính dẫn dắt và khả năng tạo tác động lan tỏa, bảo đảm đầu tư hiệu quả, tránh dàn trải.</w:t>
      </w:r>
    </w:p>
    <w:p w14:paraId="5916A133">
      <w:pPr>
        <w:spacing w:before="80" w:after="80" w:line="360"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hai,</w:t>
      </w:r>
      <w:r>
        <w:rPr>
          <w:color w:val="000000" w:themeColor="text1"/>
          <w:sz w:val="26"/>
          <w:szCs w:val="26"/>
          <w:lang w:val="vi-VN"/>
          <w14:textFill>
            <w14:solidFill>
              <w14:schemeClr w14:val="tx1"/>
            </w14:solidFill>
          </w14:textFill>
        </w:rPr>
        <w:t xml:space="preserve"> thực hiện theo nguyên tắc thí điểm, đánh giá và nhân rộng. Các mô hình, cơ chế và chương trình hỗ trợ đổi mới sáng tạo được ưu tiên triển khai thí điểm trên quy mô phù hợp; trên cơ sở kết quả đánh giá, tổng kết và hoàn thiện mô hình sẽ từng bước nhân rộng trên phạm vi toàn tỉnh nhằm nâng cao hiệu quả đầu tư, giảm thiểu rủi ro và bảo đảm tính khả thi trong quá trình triển khai.</w:t>
      </w:r>
    </w:p>
    <w:p w14:paraId="65EAC5CC">
      <w:pPr>
        <w:spacing w:before="80" w:after="80" w:line="360"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 xml:space="preserve">Thứ ba, </w:t>
      </w:r>
      <w:r>
        <w:rPr>
          <w:color w:val="000000" w:themeColor="text1"/>
          <w:sz w:val="26"/>
          <w:szCs w:val="26"/>
          <w:lang w:val="vi-VN"/>
          <w14:textFill>
            <w14:solidFill>
              <w14:schemeClr w14:val="tx1"/>
            </w14:solidFill>
          </w14:textFill>
        </w:rPr>
        <w:t>lấy doanh nghiệp làm trung tâm của hệ sinh thái đổi mới sáng tạo. Mọi cơ chế, chính sách và chương trình hỗ trợ cần hướng tới nâng cao năng lực đổi mới sáng tạo, năng lực hấp thụ và làm chủ công nghệ của doanh nghiệp; thúc đẩy doanh nghiệp trở thành chủ thể của hoạt động nghiên cứu, ứng dụng, chuyển giao và thương mại hóa công nghệ. Đồng thời phát huy vai trò của các cơ sở giáo dục, viện nghiên cứu, tổ chức khoa học và công nghệ, tổ chức trung gian, chuyên gia, nhà đầu tư và cộng đồng đổi mới sáng tạo trong việc hình thành mạng lưới liên kết và hỗ trợ doanh nghiệp.</w:t>
      </w:r>
    </w:p>
    <w:p w14:paraId="39D18EE3">
      <w:pPr>
        <w:spacing w:before="80" w:after="80" w:line="360"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Thứ tư,</w:t>
      </w:r>
      <w:r>
        <w:rPr>
          <w:color w:val="000000" w:themeColor="text1"/>
          <w:sz w:val="26"/>
          <w:szCs w:val="26"/>
          <w:lang w:val="vi-VN"/>
          <w14:textFill>
            <w14:solidFill>
              <w14:schemeClr w14:val="tx1"/>
            </w14:solidFill>
          </w14:textFill>
        </w:rPr>
        <w:t xml:space="preserve"> phát triển hệ sinh thái theo hướng mở, tăng cường liên kết vùng và hội nhập. Hệ sinh thái đổi mới sáng tạo của tỉnh được phát triển theo mô hình mở, tăng cường kết nối với hệ sinh thái đổi mới sáng tạo quốc gia, các trung tâm khoa học, công nghệ, đổi mới sáng tạo, đào tạo và công nghiệp trong Vùng Đồng bằng sông Hồng cũng như các đối tác quốc tế nhằm thu hút nguồn nhân lực chất lượng cao, chuyên gia, doanh nghiệp công nghệ, nhà đầu tư và các tổ chức hỗ trợ đổi mới sáng tạo; từng bước mở rộng mạng lưới hợp tác, chia sẻ nguồn lực và nâng cao năng lực cạnh tranh của hệ sinh thái.</w:t>
      </w:r>
    </w:p>
    <w:p w14:paraId="7EFD8E60">
      <w:pPr>
        <w:spacing w:before="80" w:after="80" w:line="360" w:lineRule="auto"/>
        <w:ind w:firstLine="720"/>
        <w:rPr>
          <w:color w:val="000000" w:themeColor="text1"/>
          <w:spacing w:val="-6"/>
          <w:sz w:val="26"/>
          <w:szCs w:val="26"/>
          <w:lang w:val="vi-VN"/>
          <w14:textFill>
            <w14:solidFill>
              <w14:schemeClr w14:val="tx1"/>
            </w14:solidFill>
          </w14:textFill>
        </w:rPr>
      </w:pPr>
      <w:r>
        <w:rPr>
          <w:i/>
          <w:iCs/>
          <w:color w:val="000000" w:themeColor="text1"/>
          <w:spacing w:val="-6"/>
          <w:sz w:val="26"/>
          <w:szCs w:val="26"/>
          <w:lang w:val="vi-VN"/>
          <w14:textFill>
            <w14:solidFill>
              <w14:schemeClr w14:val="tx1"/>
            </w14:solidFill>
          </w14:textFill>
        </w:rPr>
        <w:t>Thứ năm,</w:t>
      </w:r>
      <w:r>
        <w:rPr>
          <w:color w:val="000000" w:themeColor="text1"/>
          <w:spacing w:val="-6"/>
          <w:sz w:val="26"/>
          <w:szCs w:val="26"/>
          <w:lang w:val="vi-VN"/>
          <w14:textFill>
            <w14:solidFill>
              <w14:schemeClr w14:val="tx1"/>
            </w14:solidFill>
          </w14:textFill>
        </w:rPr>
        <w:t xml:space="preserve"> đa dạng hóa nguồn lực đầu tư, đẩy mạnh xã hội hóa và phát huy vai trò của khu vực tư nhân. Ngân sách nhà nước giữ vai trò vốn mồi để đầu tư các hạ tầng và thiết chế nền tảng của hệ sinh thái; đồng thời khuyến khích huy động nguồn lực từ doanh nghiệp, tổ chức khoa học và công nghệ, cơ sở giáo dục, các quỹ đầu tư, tổ chức tài chính, tổ chức quốc tế và các nguồn lực xã hội khác. Khuyến khích khu vực tư nhân tham gia đầu tư, quản lý, vận hành các trung tâm </w:t>
      </w:r>
      <w:r>
        <w:rPr>
          <w:color w:val="000000" w:themeColor="text1"/>
          <w:spacing w:val="-6"/>
          <w:sz w:val="26"/>
          <w:szCs w:val="26"/>
          <w:lang w:val="en-GB"/>
          <w14:textFill>
            <w14:solidFill>
              <w14:schemeClr w14:val="tx1"/>
            </w14:solidFill>
          </w14:textFill>
        </w:rPr>
        <w:t>Đ</w:t>
      </w:r>
      <w:r>
        <w:rPr>
          <w:rFonts w:hint="default"/>
          <w:color w:val="000000" w:themeColor="text1"/>
          <w:spacing w:val="-6"/>
          <w:sz w:val="26"/>
          <w:szCs w:val="26"/>
          <w:lang w:val="en-GB"/>
          <w14:textFill>
            <w14:solidFill>
              <w14:schemeClr w14:val="tx1"/>
            </w14:solidFill>
          </w14:textFill>
        </w:rPr>
        <w:t>MST</w:t>
      </w:r>
      <w:r>
        <w:rPr>
          <w:color w:val="000000" w:themeColor="text1"/>
          <w:spacing w:val="-6"/>
          <w:sz w:val="26"/>
          <w:szCs w:val="26"/>
          <w:lang w:val="vi-VN"/>
          <w14:textFill>
            <w14:solidFill>
              <w14:schemeClr w14:val="tx1"/>
            </w14:solidFill>
          </w14:textFill>
        </w:rPr>
        <w:t>, không gian khởi nghiệp sáng tạo cộng đồng và các thiết chế hỗ trợ đổi mới sáng tạo thông qua các hình thức hợp tác phù hợp, bao gồm hợp tác công – tư (PPP) và các mô hình hợp tác khác theo quy định của pháp luật.</w:t>
      </w:r>
    </w:p>
    <w:p w14:paraId="4ED3B36C">
      <w:pPr>
        <w:spacing w:before="80" w:after="80" w:line="360" w:lineRule="auto"/>
        <w:ind w:firstLine="720"/>
        <w:rPr>
          <w:rFonts w:hint="default"/>
          <w:color w:val="000000" w:themeColor="text1"/>
          <w:sz w:val="26"/>
          <w:szCs w:val="26"/>
          <w:lang w:val="en-GB"/>
          <w14:textFill>
            <w14:solidFill>
              <w14:schemeClr w14:val="tx1"/>
            </w14:solidFill>
          </w14:textFill>
        </w:rPr>
      </w:pPr>
      <w:r>
        <w:rPr>
          <w:i/>
          <w:iCs/>
          <w:color w:val="000000" w:themeColor="text1"/>
          <w:sz w:val="26"/>
          <w:szCs w:val="26"/>
          <w:lang w:val="vi-VN"/>
          <w14:textFill>
            <w14:solidFill>
              <w14:schemeClr w14:val="tx1"/>
            </w14:solidFill>
          </w14:textFill>
        </w:rPr>
        <w:t>Thứ sáu,</w:t>
      </w:r>
      <w:r>
        <w:rPr>
          <w:color w:val="000000" w:themeColor="text1"/>
          <w:sz w:val="26"/>
          <w:szCs w:val="26"/>
          <w:lang w:val="vi-VN"/>
          <w14:textFill>
            <w14:solidFill>
              <w14:schemeClr w14:val="tx1"/>
            </w14:solidFill>
          </w14:textFill>
        </w:rPr>
        <w:t xml:space="preserve"> tăng cường tự chủ gắn với trách nhiệm giải trình và hiệu quả hoạt động. Các trung tâm </w:t>
      </w:r>
      <w:r>
        <w:rPr>
          <w:color w:val="000000" w:themeColor="text1"/>
          <w:sz w:val="26"/>
          <w:szCs w:val="26"/>
          <w:lang w:val="en-GB"/>
          <w14:textFill>
            <w14:solidFill>
              <w14:schemeClr w14:val="tx1"/>
            </w14:solidFill>
          </w14:textFill>
        </w:rPr>
        <w:t>Đ</w:t>
      </w:r>
      <w:r>
        <w:rPr>
          <w:rFonts w:hint="default"/>
          <w:color w:val="000000" w:themeColor="text1"/>
          <w:sz w:val="26"/>
          <w:szCs w:val="26"/>
          <w:lang w:val="en-GB"/>
          <w14:textFill>
            <w14:solidFill>
              <w14:schemeClr w14:val="tx1"/>
            </w14:solidFill>
          </w14:textFill>
        </w:rPr>
        <w:t>MST</w:t>
      </w:r>
      <w:r>
        <w:rPr>
          <w:color w:val="000000" w:themeColor="text1"/>
          <w:sz w:val="26"/>
          <w:szCs w:val="26"/>
          <w:lang w:val="vi-VN"/>
          <w14:textFill>
            <w14:solidFill>
              <w14:schemeClr w14:val="tx1"/>
            </w14:solidFill>
          </w14:textFill>
        </w:rPr>
        <w:t xml:space="preserve"> và các tổ chức hỗ trợ </w:t>
      </w:r>
      <w:r>
        <w:rPr>
          <w:color w:val="000000" w:themeColor="text1"/>
          <w:sz w:val="26"/>
          <w:szCs w:val="26"/>
          <w:lang w:val="en-GB"/>
          <w14:textFill>
            <w14:solidFill>
              <w14:schemeClr w14:val="tx1"/>
            </w14:solidFill>
          </w14:textFill>
        </w:rPr>
        <w:t>Đ</w:t>
      </w:r>
      <w:r>
        <w:rPr>
          <w:rFonts w:hint="default"/>
          <w:color w:val="000000" w:themeColor="text1"/>
          <w:sz w:val="26"/>
          <w:szCs w:val="26"/>
          <w:lang w:val="en-GB"/>
          <w14:textFill>
            <w14:solidFill>
              <w14:schemeClr w14:val="tx1"/>
            </w14:solidFill>
          </w14:textFill>
        </w:rPr>
        <w:t>MST</w:t>
      </w:r>
      <w:r>
        <w:rPr>
          <w:color w:val="000000" w:themeColor="text1"/>
          <w:sz w:val="26"/>
          <w:szCs w:val="26"/>
          <w:lang w:val="vi-VN"/>
          <w14:textFill>
            <w14:solidFill>
              <w14:schemeClr w14:val="tx1"/>
            </w14:solidFill>
          </w14:textFill>
        </w:rPr>
        <w:t xml:space="preserve"> được khuyến khích từng bước thực hiện cơ chế tự chủ về tổ chức, hoạt động và tài chính; đa dạng hóa nguồn thu thông qua cung cấp dịch vụ, tư vấn, đào tạo, nghiên cứu, chuyển giao công nghệ, ươm tạo doanh nghiệp, khai thác hạ tầng và các hoạt động hợp tác với doanh nghiệp. Việc giao quyền tự chủ phải gắn với mục tiêu, kết quả đầu ra, trách nhiệm giải trình và cơ chế đánh giá định kỳ nhằm bảo đảm hiệu quả hoạt động và tính bền vững của các thiết chế hỗ trợ </w:t>
      </w:r>
      <w:r>
        <w:rPr>
          <w:color w:val="000000" w:themeColor="text1"/>
          <w:sz w:val="26"/>
          <w:szCs w:val="26"/>
          <w:lang w:val="en-GB"/>
          <w14:textFill>
            <w14:solidFill>
              <w14:schemeClr w14:val="tx1"/>
            </w14:solidFill>
          </w14:textFill>
        </w:rPr>
        <w:t>Đ</w:t>
      </w:r>
      <w:r>
        <w:rPr>
          <w:rFonts w:hint="default"/>
          <w:color w:val="000000" w:themeColor="text1"/>
          <w:sz w:val="26"/>
          <w:szCs w:val="26"/>
          <w:lang w:val="en-GB"/>
          <w14:textFill>
            <w14:solidFill>
              <w14:schemeClr w14:val="tx1"/>
            </w14:solidFill>
          </w14:textFill>
        </w:rPr>
        <w:t>MST.</w:t>
      </w:r>
    </w:p>
    <w:p w14:paraId="06F9F536">
      <w:pPr>
        <w:spacing w:before="80" w:after="80" w:line="360"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 xml:space="preserve">Thứ bảy, </w:t>
      </w:r>
      <w:r>
        <w:rPr>
          <w:color w:val="000000" w:themeColor="text1"/>
          <w:sz w:val="26"/>
          <w:szCs w:val="26"/>
          <w:lang w:val="vi-VN"/>
          <w14:textFill>
            <w14:solidFill>
              <w14:schemeClr w14:val="tx1"/>
            </w14:solidFill>
          </w14:textFill>
        </w:rPr>
        <w:t xml:space="preserve">bảo đảm tính mở, linh hoạt và thích ứng của hệ sinh thái </w:t>
      </w:r>
      <w:r>
        <w:rPr>
          <w:color w:val="000000" w:themeColor="text1"/>
          <w:sz w:val="26"/>
          <w:szCs w:val="26"/>
          <w:lang w:val="en-GB"/>
          <w14:textFill>
            <w14:solidFill>
              <w14:schemeClr w14:val="tx1"/>
            </w14:solidFill>
          </w14:textFill>
        </w:rPr>
        <w:t>Đ</w:t>
      </w:r>
      <w:r>
        <w:rPr>
          <w:rFonts w:hint="default"/>
          <w:color w:val="000000" w:themeColor="text1"/>
          <w:sz w:val="26"/>
          <w:szCs w:val="26"/>
          <w:lang w:val="en-GB"/>
          <w14:textFill>
            <w14:solidFill>
              <w14:schemeClr w14:val="tx1"/>
            </w14:solidFill>
          </w14:textFill>
        </w:rPr>
        <w:t>MST</w:t>
      </w:r>
      <w:r>
        <w:rPr>
          <w:color w:val="000000" w:themeColor="text1"/>
          <w:sz w:val="26"/>
          <w:szCs w:val="26"/>
          <w:lang w:val="vi-VN"/>
          <w14:textFill>
            <w14:solidFill>
              <w14:schemeClr w14:val="tx1"/>
            </w14:solidFill>
          </w14:textFill>
        </w:rPr>
        <w:t>. Trong quá trình triển khai, các mô hình, nhiệm vụ và cơ chế hỗ trợ được thường xuyên rà soát, cập nhật và điều chỉnh phù hợp với sự phát triển của khoa học, công nghệ, yêu cầu của doanh nghiệp và bối cảnh phát triển kinh tế - xã hội; khuyến khích thử nghiệm các mô hình mới, phương thức hợp tác mới và ứng dụng các công nghệ mới nhằm nâng cao hiệu quả hoạt động của hệ sinh thái.</w:t>
      </w:r>
    </w:p>
    <w:p w14:paraId="61C4A965">
      <w:pPr>
        <w:spacing w:before="80" w:after="80" w:line="360" w:lineRule="auto"/>
        <w:ind w:firstLine="720"/>
        <w:rPr>
          <w:color w:val="000000" w:themeColor="text1"/>
          <w:spacing w:val="-6"/>
          <w:sz w:val="26"/>
          <w:szCs w:val="26"/>
          <w:lang w:val="vi-VN"/>
          <w14:textFill>
            <w14:solidFill>
              <w14:schemeClr w14:val="tx1"/>
            </w14:solidFill>
          </w14:textFill>
        </w:rPr>
      </w:pPr>
      <w:r>
        <w:rPr>
          <w:i/>
          <w:iCs/>
          <w:color w:val="000000" w:themeColor="text1"/>
          <w:spacing w:val="-6"/>
          <w:sz w:val="26"/>
          <w:szCs w:val="26"/>
          <w:lang w:val="vi-VN"/>
          <w14:textFill>
            <w14:solidFill>
              <w14:schemeClr w14:val="tx1"/>
            </w14:solidFill>
          </w14:textFill>
        </w:rPr>
        <w:t xml:space="preserve">Thứ </w:t>
      </w:r>
      <w:r>
        <w:rPr>
          <w:rFonts w:hint="default"/>
          <w:i/>
          <w:iCs/>
          <w:color w:val="000000" w:themeColor="text1"/>
          <w:spacing w:val="-6"/>
          <w:sz w:val="26"/>
          <w:szCs w:val="26"/>
          <w:lang w:val="en-GB"/>
          <w14:textFill>
            <w14:solidFill>
              <w14:schemeClr w14:val="tx1"/>
            </w14:solidFill>
          </w14:textFill>
        </w:rPr>
        <w:t>tám</w:t>
      </w:r>
      <w:r>
        <w:rPr>
          <w:i/>
          <w:iCs/>
          <w:color w:val="000000" w:themeColor="text1"/>
          <w:spacing w:val="-6"/>
          <w:sz w:val="26"/>
          <w:szCs w:val="26"/>
          <w:lang w:val="vi-VN"/>
          <w14:textFill>
            <w14:solidFill>
              <w14:schemeClr w14:val="tx1"/>
            </w14:solidFill>
          </w14:textFill>
        </w:rPr>
        <w:t>,</w:t>
      </w:r>
      <w:r>
        <w:rPr>
          <w:color w:val="000000" w:themeColor="text1"/>
          <w:spacing w:val="-6"/>
          <w:sz w:val="26"/>
          <w:szCs w:val="26"/>
          <w:lang w:val="vi-VN"/>
          <w14:textFill>
            <w14:solidFill>
              <w14:schemeClr w14:val="tx1"/>
            </w14:solidFill>
          </w14:textFill>
        </w:rPr>
        <w:t xml:space="preserve"> ưu tiên khai thác, liên kết và sử dụng hiệu quả hạ tầng, nguồn lực hiện có. Việc triển khai Đề án cần ưu tiên tận dụng, nâng cấp và khai thác hiệu quả hệ thống hạ tầng, trang thiết bị, phòng thí nghiệm, cơ sở nghiên cứu, cơ sở đào tạo, cơ sở y tế, doanh nghiệp và các thiết chế khoa học, công nghệ, </w:t>
      </w:r>
      <w:r>
        <w:rPr>
          <w:color w:val="000000" w:themeColor="text1"/>
          <w:spacing w:val="-6"/>
          <w:sz w:val="26"/>
          <w:szCs w:val="26"/>
          <w:lang w:val="en-GB"/>
          <w14:textFill>
            <w14:solidFill>
              <w14:schemeClr w14:val="tx1"/>
            </w14:solidFill>
          </w14:textFill>
        </w:rPr>
        <w:t>Đ</w:t>
      </w:r>
      <w:r>
        <w:rPr>
          <w:rFonts w:hint="default"/>
          <w:color w:val="000000" w:themeColor="text1"/>
          <w:spacing w:val="-6"/>
          <w:sz w:val="26"/>
          <w:szCs w:val="26"/>
          <w:lang w:val="en-GB"/>
          <w14:textFill>
            <w14:solidFill>
              <w14:schemeClr w14:val="tx1"/>
            </w14:solidFill>
          </w14:textFill>
        </w:rPr>
        <w:t>MST</w:t>
      </w:r>
      <w:r>
        <w:rPr>
          <w:color w:val="000000" w:themeColor="text1"/>
          <w:spacing w:val="-6"/>
          <w:sz w:val="26"/>
          <w:szCs w:val="26"/>
          <w:lang w:val="vi-VN"/>
          <w14:textFill>
            <w14:solidFill>
              <w14:schemeClr w14:val="tx1"/>
            </w14:solidFill>
          </w14:textFill>
        </w:rPr>
        <w:t xml:space="preserve"> đã được đầu tư trên địa bàn tỉnh và khu vực; tăng cường cơ chế liên kết, chia sẻ và sử dụng chung hạ tầng giữa các cơ quan nhà nước, cơ sở giáo dục, viện nghiên cứu, doanh nghiệp và các tổ chức hỗ trợ </w:t>
      </w:r>
      <w:r>
        <w:rPr>
          <w:color w:val="000000" w:themeColor="text1"/>
          <w:spacing w:val="-6"/>
          <w:sz w:val="26"/>
          <w:szCs w:val="26"/>
          <w:lang w:val="en-GB"/>
          <w14:textFill>
            <w14:solidFill>
              <w14:schemeClr w14:val="tx1"/>
            </w14:solidFill>
          </w14:textFill>
        </w:rPr>
        <w:t>Đ</w:t>
      </w:r>
      <w:r>
        <w:rPr>
          <w:rFonts w:hint="default"/>
          <w:color w:val="000000" w:themeColor="text1"/>
          <w:spacing w:val="-6"/>
          <w:sz w:val="26"/>
          <w:szCs w:val="26"/>
          <w:lang w:val="en-GB"/>
          <w14:textFill>
            <w14:solidFill>
              <w14:schemeClr w14:val="tx1"/>
            </w14:solidFill>
          </w14:textFill>
        </w:rPr>
        <w:t>MST</w:t>
      </w:r>
      <w:r>
        <w:rPr>
          <w:color w:val="000000" w:themeColor="text1"/>
          <w:spacing w:val="-6"/>
          <w:sz w:val="26"/>
          <w:szCs w:val="26"/>
          <w:lang w:val="vi-VN"/>
          <w14:textFill>
            <w14:solidFill>
              <w14:schemeClr w14:val="tx1"/>
            </w14:solidFill>
          </w14:textFill>
        </w:rPr>
        <w:t xml:space="preserve"> nhằm tối ưu hiệu quả đầu tư, tránh trùng lặp và nâng cao hiệu quả sử dụng nguồn lực. </w:t>
      </w:r>
    </w:p>
    <w:p w14:paraId="0D04E948">
      <w:pPr>
        <w:spacing w:before="80" w:after="80" w:line="360" w:lineRule="auto"/>
        <w:ind w:firstLine="720"/>
        <w:rPr>
          <w:color w:val="000000" w:themeColor="text1"/>
          <w:sz w:val="26"/>
          <w:szCs w:val="26"/>
          <w:lang w:val="vi-VN"/>
          <w14:textFill>
            <w14:solidFill>
              <w14:schemeClr w14:val="tx1"/>
            </w14:solidFill>
          </w14:textFill>
        </w:rPr>
      </w:pPr>
      <w:r>
        <w:rPr>
          <w:i/>
          <w:iCs/>
          <w:color w:val="000000" w:themeColor="text1"/>
          <w:sz w:val="26"/>
          <w:szCs w:val="26"/>
          <w:lang w:val="vi-VN"/>
          <w14:textFill>
            <w14:solidFill>
              <w14:schemeClr w14:val="tx1"/>
            </w14:solidFill>
          </w14:textFill>
        </w:rPr>
        <w:t xml:space="preserve">Thứ </w:t>
      </w:r>
      <w:r>
        <w:rPr>
          <w:rFonts w:hint="default"/>
          <w:i/>
          <w:iCs/>
          <w:color w:val="000000" w:themeColor="text1"/>
          <w:sz w:val="26"/>
          <w:szCs w:val="26"/>
          <w:lang w:val="en-GB"/>
          <w14:textFill>
            <w14:solidFill>
              <w14:schemeClr w14:val="tx1"/>
            </w14:solidFill>
          </w14:textFill>
        </w:rPr>
        <w:t>chín</w:t>
      </w:r>
      <w:r>
        <w:rPr>
          <w:i/>
          <w:iCs/>
          <w:color w:val="000000" w:themeColor="text1"/>
          <w:sz w:val="26"/>
          <w:szCs w:val="26"/>
          <w:lang w:val="vi-VN"/>
          <w14:textFill>
            <w14:solidFill>
              <w14:schemeClr w14:val="tx1"/>
            </w14:solidFill>
          </w14:textFill>
        </w:rPr>
        <w:t>,</w:t>
      </w:r>
      <w:r>
        <w:rPr>
          <w:color w:val="000000" w:themeColor="text1"/>
          <w:sz w:val="26"/>
          <w:szCs w:val="26"/>
          <w:lang w:val="vi-VN"/>
          <w14:textFill>
            <w14:solidFill>
              <w14:schemeClr w14:val="tx1"/>
            </w14:solidFill>
          </w14:textFill>
        </w:rPr>
        <w:t xml:space="preserve"> tăng cường theo dõi, giám sát và đánh giá kết quả thực hiện. Việc tổ chức thực hiện Đề án được theo dõi, giám sát và đánh giá thường xuyên trên cơ sở hệ thống chỉ tiêu, tiêu chí và kết quả đầu ra của từng nhiệm vụ; kịp thời điều chỉnh, bổ sung các nhiệm vụ, giải pháp phù hợp với tình hình thực tiễn, bảo đảm Đề án được triển khai hiệu quả, sử dụng tiết kiệm nguồn lực và đạt được các mục tiêu đề ra.</w:t>
      </w:r>
    </w:p>
    <w:p w14:paraId="2F84068F">
      <w:pPr>
        <w:pStyle w:val="3"/>
        <w:rPr>
          <w:color w:val="000000" w:themeColor="text1"/>
          <w14:textFill>
            <w14:solidFill>
              <w14:schemeClr w14:val="tx1"/>
            </w14:solidFill>
          </w14:textFill>
        </w:rPr>
      </w:pPr>
      <w:bookmarkStart w:id="128" w:name="_Toc233183715"/>
      <w:r>
        <w:rPr>
          <w:color w:val="000000" w:themeColor="text1"/>
          <w14:textFill>
            <w14:solidFill>
              <w14:schemeClr w14:val="tx1"/>
            </w14:solidFill>
          </w14:textFill>
        </w:rPr>
        <w:t>I</w:t>
      </w:r>
      <w:r>
        <w:rPr>
          <w:rFonts w:hint="default"/>
          <w:color w:val="000000" w:themeColor="text1"/>
          <w:lang w:val="en-GB"/>
          <w14:textFill>
            <w14:solidFill>
              <w14:schemeClr w14:val="tx1"/>
            </w14:solidFill>
          </w14:textFill>
        </w:rPr>
        <w:t>I</w:t>
      </w:r>
      <w:r>
        <w:rPr>
          <w:color w:val="000000" w:themeColor="text1"/>
          <w14:textFill>
            <w14:solidFill>
              <w14:schemeClr w14:val="tx1"/>
            </w14:solidFill>
          </w14:textFill>
        </w:rPr>
        <w:t>. PHÂN CÔNG TRÁCH NHIỆM</w:t>
      </w:r>
      <w:bookmarkEnd w:id="128"/>
    </w:p>
    <w:p w14:paraId="76FC6BE5">
      <w:pPr>
        <w:pStyle w:val="4"/>
        <w:rPr>
          <w:color w:val="000000" w:themeColor="text1"/>
          <w14:textFill>
            <w14:solidFill>
              <w14:schemeClr w14:val="tx1"/>
            </w14:solidFill>
          </w14:textFill>
        </w:rPr>
      </w:pPr>
      <w:bookmarkStart w:id="129" w:name="_Toc233183716"/>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.1. Sở Khoa học và Công nghệ (Cơ quan chủ trì)</w:t>
      </w:r>
      <w:bookmarkEnd w:id="129"/>
    </w:p>
    <w:p w14:paraId="4CC42920">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Sở Khoa học và Công nghệ tỉnh Ninh Bình đóng vai trò chủ trì toàn bộ hệ sinh thái ĐMST, điều phối các hoạt động giữa các sở ngành, tổ chức và doanh nghiệp trong toàn tỉnh. Chủ trì xây dựng bộ chỉ số đo lường hiệu quả (KPI) cho từng Sở, ngành trong việc thực hiện Đề án Vị trí này đòi hỏi Sở phải có đội ngũ cán bộ chuyên nghiệp về ĐMST, am hiểu xu thế công nghệ toàn cầu và có khả năng kết nối đa bên hiệu quả.</w:t>
      </w:r>
    </w:p>
    <w:p w14:paraId="1C6A90E9">
      <w:pPr>
        <w:tabs>
          <w:tab w:val="left" w:pos="7920"/>
        </w:tabs>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Về xây dựng thể chế và chính sách, Sở KH&amp;CN chủ trì soạn thảo và trình UBND tỉnh hoặc HĐND tỉnh ban hành theo thẩm quyền toàn bộ các văn bản pháp lý của Đề án, bao gồm: Nghị quyết của HĐND tỉnh về cơ chế đặc thù, Quyết định của UBND tỉnh về thành lập Trung tâm ĐMST, Quy chế vận hành Hội đồng Điều phối và các văn bản hướng dẫn cụ thể cho từng chương trình, hoạt động. Sở theo dõi, cập nhật và tham mưu điều chỉnh chính sách kịp thời theo thực tiễn triển khai và yêu cầu phát sinh mới, đảm bảo tính phù hợp và hiệu quả của khung thể chế trong suốt giai đoạn 2026–2030.</w:t>
      </w:r>
    </w:p>
    <w:p w14:paraId="3F45FDC8">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Về điều hành Trung tâm ĐMST hạt nhân và hệ sinh thái, Sở trực tiếp quản lý nhà nước đối với Trung tâm ĐMST hạt nhân tỉnh Ninh Bình, phê duyệt kế hoạch hoạt động, kiểm tra, đánh giá định kỳ kết quả hoạt động. Sở chủ trì phát triển và vận hành nền tảng số Ninhbinh Innovation Port, đảm bảo tích hợp dữ liệu hệ sinh thái và cung cấp bảng điều khiển (dashboard) KPI theo thời gian thực cho cơ quan lãnh đạo tỉnh. Phối hợp với Sở Tài chính quản lý và giám sát </w:t>
      </w:r>
      <w:r>
        <w:rPr>
          <w:rFonts w:hint="default"/>
          <w:color w:val="000000" w:themeColor="text1"/>
          <w:sz w:val="26"/>
          <w:szCs w:val="26"/>
          <w:lang w:val="en-GB"/>
          <w14:textFill>
            <w14:solidFill>
              <w14:schemeClr w14:val="tx1"/>
            </w14:solidFill>
          </w14:textFill>
        </w:rPr>
        <w:t>cơ chế tài chính hỗ trợ ĐMST của</w:t>
      </w:r>
      <w:r>
        <w:rPr>
          <w:color w:val="000000" w:themeColor="text1"/>
          <w:sz w:val="26"/>
          <w:szCs w:val="26"/>
          <w:lang w:val="vi-VN"/>
          <w14:textFill>
            <w14:solidFill>
              <w14:schemeClr w14:val="tx1"/>
            </w14:solidFill>
          </w14:textFill>
        </w:rPr>
        <w:t xml:space="preserve"> tỉnh theo đúng quy định pháp luật.</w:t>
      </w:r>
    </w:p>
    <w:p w14:paraId="7B25B1E7">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Về thúc đẩy nghiên cứu và thương mại hóa công nghệ, Sở triển khai các nhiệm vụ KH&amp;CN cấp tỉnh gắn với nhu cầu thực tiễn của doanh nghiệp và hệ sinh thái; hỗ trợ đăng ký sở hữu trí tuệ, chứng nhận doanh nghiệp KH&amp;CN và các thủ tục hành chính liên quan đến ĐMST; vận hành chương trình đặt hàng ĐMST công và kết nối kết quả nghiên cứu của các trường đại học, viện nghiên cứu với doanh nghiệp cần tiếp nhận công nghệ.</w:t>
      </w:r>
    </w:p>
    <w:p w14:paraId="7026D95C">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Về hợp tác quốc gia và quốc tế, Sở KH&amp;CN là đầu mối liên kết với Bộ KH&amp;CN, Cục Phát triển thị trường và doanh nghiệp KH&amp;CN, mạng lưới ĐMST quốc gia và các tổ chức quốc tế; chủ trì tổ chức và tham dự các sự kiện Techfest Quốc gia và các diễn đàn ĐMST trong và ngoài nước. Thực hiện chế độ báo cáo định kỳ (hàng quý, hàng năm) với UBND tỉnh về kết quả triển khai Đề án, đề xuất điều chỉnh kế hoạch kịp thời.</w:t>
      </w:r>
    </w:p>
    <w:p w14:paraId="1D6D9496">
      <w:pPr>
        <w:pStyle w:val="4"/>
        <w:rPr>
          <w:color w:val="000000" w:themeColor="text1"/>
          <w14:textFill>
            <w14:solidFill>
              <w14:schemeClr w14:val="tx1"/>
            </w14:solidFill>
          </w14:textFill>
        </w:rPr>
      </w:pPr>
      <w:bookmarkStart w:id="130" w:name="_Toc233183717"/>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.2. Sở Nội vụ và Sở Giáo dục &amp; Đào tạo (Nhân lực – Nhân tài)</w:t>
      </w:r>
      <w:bookmarkEnd w:id="130"/>
    </w:p>
    <w:p w14:paraId="0FEA0334">
      <w:pPr>
        <w:spacing w:before="80" w:after="80" w:line="360"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 xml:space="preserve">Sở Nội vụ phối hợp với Sở Khoa học và Công nghệ tham mưu xây dựng chính sách thu hút, trọng dụng nhân tài trong lĩnh vực khoa học, công nghệ, ĐMST và chuyển đổi số theo quy định của Chính phủ và phù hợp với điều kiện thực tiễn của tỉnh. </w:t>
      </w:r>
    </w:p>
    <w:p w14:paraId="1F89AB06">
      <w:pPr>
        <w:spacing w:before="80" w:after="80" w:line="360" w:lineRule="auto"/>
        <w:ind w:firstLine="720"/>
        <w:rPr>
          <w:color w:val="000000" w:themeColor="text1"/>
          <w:spacing w:val="-4"/>
          <w:sz w:val="26"/>
          <w:szCs w:val="26"/>
          <w:lang w:val="vi-VN"/>
          <w14:textFill>
            <w14:solidFill>
              <w14:schemeClr w14:val="tx1"/>
            </w14:solidFill>
          </w14:textFill>
        </w:rPr>
      </w:pPr>
      <w:r>
        <w:rPr>
          <w:color w:val="000000" w:themeColor="text1"/>
          <w:spacing w:val="-4"/>
          <w:sz w:val="26"/>
          <w:szCs w:val="26"/>
          <w:lang w:val="vi-VN"/>
          <w14:textFill>
            <w14:solidFill>
              <w14:schemeClr w14:val="tx1"/>
            </w14:solidFill>
          </w14:textFill>
        </w:rPr>
        <w:t>Sở Giáo dục và Đào tạo chủ trì tích hợp các mô-đun tư duy sáng tạo, tư duy thiết kế và khởi nghiệp vào chương trình giáo dục phổ thông trên địa bàn tỉnh; tổ chức cuộc thi Khởi nghiệp Học sinh tỉnh Ninh Bình thường niên, tạo sân chơi phát hiện nhân tài sáng tạo trẻ và kết nối với cuộc thi quốc gia. Sở phối hợp với các trường đại học, cao đẳng trên địa bàn (đặc biệt là Khu Đại học Nam Cao) để xây dựng chương trình đào tạo gắn kết với nhu cầu thực tiễn của hệ sinh thái ĐMST; thiết lập cơ chế chia sẻ thực tập sinh, chương trình dual study (học đôi – vừa học vừa làm) giữa trường và doanh nghiệp FDI trong các khu công nghiệp. Sở Giáo dục và Đào tạ chủ trì triển khai Chương trình Học bổng Nhân tài ĐMST Ninh Bình, hỗ trợ tài chính cho sinh viên xuất sắc tại các ngành bán dẫn, AI, công nghệ sinh học, du lịch thông minh học tập tại các cơ sở đào tạo hàng đầu trong nước và quốc tế, với cam kết trở về phục vụ địa phương trong 03–05 năm.</w:t>
      </w:r>
    </w:p>
    <w:p w14:paraId="7F72C371">
      <w:pPr>
        <w:pStyle w:val="4"/>
        <w:rPr>
          <w:color w:val="000000" w:themeColor="text1"/>
          <w14:textFill>
            <w14:solidFill>
              <w14:schemeClr w14:val="tx1"/>
            </w14:solidFill>
          </w14:textFill>
        </w:rPr>
      </w:pPr>
      <w:bookmarkStart w:id="131" w:name="_Toc233183718"/>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.3. Sở Tài chính (Nguồn lực và Cơ chế tài chính)</w:t>
      </w:r>
      <w:bookmarkEnd w:id="131"/>
    </w:p>
    <w:p w14:paraId="70C0C414">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Sở Tài chính chủ trì, phối hợp với Sở Khoa học và Công nghệ và các đơn vị liên quan tham mưu UBND tỉnh bố trí kinh phí thực hiện Đề án theo phân cấp của Luật Ngân sách nhà nước, phù hợp khả năng cân đối ngân sách và tình hình thực tế của địa phương. </w:t>
      </w:r>
    </w:p>
    <w:p w14:paraId="2E2F2109">
      <w:pPr>
        <w:pStyle w:val="4"/>
        <w:rPr>
          <w:color w:val="000000" w:themeColor="text1"/>
          <w14:textFill>
            <w14:solidFill>
              <w14:schemeClr w14:val="tx1"/>
            </w14:solidFill>
          </w14:textFill>
        </w:rPr>
      </w:pPr>
      <w:bookmarkStart w:id="132" w:name="_Toc233183719"/>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.4. Sở Nông nghiệp và Môi trường (Ngành nông nghiệp, sinh thái)</w:t>
      </w:r>
      <w:bookmarkEnd w:id="132"/>
    </w:p>
    <w:p w14:paraId="61133427">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Sở Nông nghiệp và Môi trường chủ trì xây dựng kế hoạch và triển khai thực hiện ứng dụng công nghệ cao (IoT, AI, sinh học phân tử, canh tác thông minh) vào sản xuất nông nghiệp trên địa bàn tỉnh; phối hợp với Sở KH&amp;CN tổ chức các chương trình hỗ trợ doanh nghiệp nông nghiệp tiếp cận Voucher ĐMST để đổi mới quy trình và thiết bị. Sở phối hợp xây dựng và phát triển </w:t>
      </w:r>
      <w:r>
        <w:rPr>
          <w:rFonts w:hint="default"/>
          <w:color w:val="000000" w:themeColor="text1"/>
          <w:sz w:val="26"/>
          <w:szCs w:val="26"/>
          <w:lang w:val="en-GB"/>
          <w14:textFill>
            <w14:solidFill>
              <w14:schemeClr w14:val="tx1"/>
            </w14:solidFill>
          </w14:textFill>
        </w:rPr>
        <w:t>Trung tâm ĐMST Khoa học sự sống, công nghệ sinh học và dược phẩm - dược liệu</w:t>
      </w:r>
      <w:r>
        <w:rPr>
          <w:color w:val="000000" w:themeColor="text1"/>
          <w:sz w:val="26"/>
          <w:szCs w:val="26"/>
          <w:lang w:val="vi-VN"/>
          <w14:textFill>
            <w14:solidFill>
              <w14:schemeClr w14:val="tx1"/>
            </w14:solidFill>
          </w14:textFill>
        </w:rPr>
        <w:t>: cung cấp danh mục, bản đồ phân bố và cơ chế khai thác bền vững nguồn dược liệu bản địa tại Cúc Phương, Vân Long và các vùng sinh thái của tỉnh; kết nối với các doanh nghiệp dược phẩm để ký kết hợp đồng nghiên cứu – khai thác có kiểm soát và thương mại hóa. Sở cũng chịu trách nhiệm tham mưu các giải pháp ĐMST để giải quyết các bài toán môi trường nổi cộm của tỉnh (xử lý nước thải, quản lý chất thải, ô nhiễm từ sản xuất công nghiệp); kết nối với Các Trung tâm ĐMST để đặt hàng startup giải quyết các bài toán môi trường thực tiễn thông qua cơ chế Public Innovation Challenge.</w:t>
      </w:r>
    </w:p>
    <w:p w14:paraId="38C4ACDC">
      <w:pPr>
        <w:pStyle w:val="4"/>
        <w:rPr>
          <w:color w:val="000000" w:themeColor="text1"/>
          <w14:textFill>
            <w14:solidFill>
              <w14:schemeClr w14:val="tx1"/>
            </w14:solidFill>
          </w14:textFill>
        </w:rPr>
      </w:pPr>
      <w:bookmarkStart w:id="133" w:name="_Toc233183720"/>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.5. Sở Xây dựng (Hạ tầng kỹ thuật)</w:t>
      </w:r>
      <w:bookmarkEnd w:id="133"/>
    </w:p>
    <w:p w14:paraId="6C2854F4">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Sở Xây dựng chủ trì lập và thẩm định hồ sơ quy hoạch, thiết kế kiến trúc – xây dựng cho Trung tâm ĐMST hạt nhân và các điểm ĐMST chuyên ngành; đảm bảo tuân thủ các tiêu chuẩn về hạ tầng kỹ thuật (điện, nước, mạng viễn thông, phòng cháy chữa cháy, xử lý chất thải) đáp ứng yêu cầu của phòng thí nghiệm công nghệ và không gian sáng tạo chuyên nghiệp. Sở theo dõi, giám sát tiến độ thi công và chất lượng công trình; phối hợp với Sở Tài chính và chủ đầu tư thực hiện công tác nghiệm thu, quyết toán đúng quy định. </w:t>
      </w:r>
    </w:p>
    <w:p w14:paraId="624FF718">
      <w:pPr>
        <w:pStyle w:val="4"/>
        <w:rPr>
          <w:color w:val="000000" w:themeColor="text1"/>
          <w14:textFill>
            <w14:solidFill>
              <w14:schemeClr w14:val="tx1"/>
            </w14:solidFill>
          </w14:textFill>
        </w:rPr>
      </w:pPr>
      <w:bookmarkStart w:id="134" w:name="_Toc233183721"/>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.6. Sở Du lịch và Sở Văn hóa (Ngành du lịch – văn hóa)</w:t>
      </w:r>
      <w:bookmarkEnd w:id="134"/>
    </w:p>
    <w:p w14:paraId="30C7477C">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Sở Văn hóa chủ trì xây dựng đề án thành lập Trung tâm ĐMST Du lịch - công nghiệp văn hóa theo Quyết định số 1974/QĐ-UBND ngày 01/6/2026 của UBND Tỉnh Ninh Bình: Thành lập Trung tâm hoặc không gian đổi mới sáng tạo du lịch-công nghiệp văn hoá; nghiên cứu, lập đề án xây Ninh Bình trở thành thành phố sáng tạo, đưa Ninh Bình sớm gia nhập vào mạng lưới các thành phố sáng tạo của UNESCO.</w:t>
      </w:r>
    </w:p>
    <w:p w14:paraId="680E2BDF">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Định kỳ hàng năm, Sở Du lịch đặt hàng tối thiểu 01–02 bài toán ĐMST cụ thể trong lĩnh vực quản lý, vận hành và trải nghiệm du lịch, đưa vào chương trình Innovation Challenge.</w:t>
      </w:r>
    </w:p>
    <w:p w14:paraId="02B60353">
      <w:pPr>
        <w:pStyle w:val="4"/>
        <w:rPr>
          <w:color w:val="000000" w:themeColor="text1"/>
          <w14:textFill>
            <w14:solidFill>
              <w14:schemeClr w14:val="tx1"/>
            </w14:solidFill>
          </w14:textFill>
        </w:rPr>
      </w:pPr>
      <w:bookmarkStart w:id="135" w:name="_Toc233183722"/>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.7. Sở Công Thương (Hỗ trợ doanh nghiệp và thị trường)</w:t>
      </w:r>
      <w:bookmarkEnd w:id="135"/>
    </w:p>
    <w:p w14:paraId="1BAA3D8E">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Sở Công Thương phối hợp với Bộ Công Thương và các cơ quan liên quan cung cấp thông tin về tiêu chuẩn, chứng nhận sản phẩm, thị trường xuất khẩu, các chương trình xúc tiến thương mại trong nước và quốc tế cho doanh nghiệp ĐMST; triển khai các chương trình hỗ trợ doanh nghiệp ứng dụng thương mại điện tử, marketing số và các nền tảng phân phối trực tuyến nhằm nâng cao năng lực cạnh tranh và mở rộng thị trường.</w:t>
      </w:r>
    </w:p>
    <w:p w14:paraId="6D081F1E">
      <w:pPr>
        <w:pStyle w:val="4"/>
        <w:rPr>
          <w:color w:val="000000" w:themeColor="text1"/>
          <w14:textFill>
            <w14:solidFill>
              <w14:schemeClr w14:val="tx1"/>
            </w14:solidFill>
          </w14:textFill>
        </w:rPr>
      </w:pPr>
      <w:bookmarkStart w:id="136" w:name="_Toc233183723"/>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.8. Sở Y tế (Ngành y tế – khoa học sự sống)</w:t>
      </w:r>
      <w:bookmarkEnd w:id="136"/>
    </w:p>
    <w:p w14:paraId="6B9EAB05">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Sở Y tế chủ trì phối hợp với Sở KH&amp;CN và các doanh nghiệp dược phẩm để xây dựng cơ chế hợp tác nghiên cứu lâm sàng, thử nghiệm sản phẩm từ dược liệu và công nghệ sinh học tại các cơ sở y tế trên địa bàn tỉnh; cung cấp môi trường thử nghiệm thực tiễn để các startup y tế và các sản phẩm đổi mới được kiểm chứng an toàn và hiệu quả trước khi thương mại hóa. Sở phối hợp với Sở Du lịch xây dựng các tiêu chuẩn, quy trình và điều kiện để phát triển mô hình </w:t>
      </w:r>
      <w:r>
        <w:rPr>
          <w:rFonts w:hint="default"/>
          <w:color w:val="000000" w:themeColor="text1"/>
          <w:sz w:val="26"/>
          <w:szCs w:val="26"/>
          <w:lang w:val="en-GB"/>
          <w14:textFill>
            <w14:solidFill>
              <w14:schemeClr w14:val="tx1"/>
            </w14:solidFill>
          </w14:textFill>
        </w:rPr>
        <w:t>d</w:t>
      </w:r>
      <w:r>
        <w:rPr>
          <w:color w:val="000000" w:themeColor="text1"/>
          <w:sz w:val="26"/>
          <w:szCs w:val="26"/>
          <w:lang w:val="vi-VN"/>
          <w14:textFill>
            <w14:solidFill>
              <w14:schemeClr w14:val="tx1"/>
            </w14:solidFill>
          </w14:textFill>
        </w:rPr>
        <w:t xml:space="preserve">u lịch </w:t>
      </w:r>
      <w:r>
        <w:rPr>
          <w:rFonts w:hint="default"/>
          <w:color w:val="000000" w:themeColor="text1"/>
          <w:sz w:val="26"/>
          <w:szCs w:val="26"/>
          <w:lang w:val="en-GB"/>
          <w14:textFill>
            <w14:solidFill>
              <w14:schemeClr w14:val="tx1"/>
            </w14:solidFill>
          </w14:textFill>
        </w:rPr>
        <w:t>y</w:t>
      </w:r>
      <w:r>
        <w:rPr>
          <w:color w:val="000000" w:themeColor="text1"/>
          <w:sz w:val="26"/>
          <w:szCs w:val="26"/>
          <w:lang w:val="vi-VN"/>
          <w14:textFill>
            <w14:solidFill>
              <w14:schemeClr w14:val="tx1"/>
            </w14:solidFill>
          </w14:textFill>
        </w:rPr>
        <w:t xml:space="preserve"> tế và </w:t>
      </w:r>
      <w:r>
        <w:rPr>
          <w:rFonts w:hint="default"/>
          <w:color w:val="000000" w:themeColor="text1"/>
          <w:sz w:val="26"/>
          <w:szCs w:val="26"/>
          <w:lang w:val="en-GB"/>
          <w14:textFill>
            <w14:solidFill>
              <w14:schemeClr w14:val="tx1"/>
            </w14:solidFill>
          </w14:textFill>
        </w:rPr>
        <w:t>c</w:t>
      </w:r>
      <w:r>
        <w:rPr>
          <w:color w:val="000000" w:themeColor="text1"/>
          <w:sz w:val="26"/>
          <w:szCs w:val="26"/>
          <w:lang w:val="vi-VN"/>
          <w14:textFill>
            <w14:solidFill>
              <w14:schemeClr w14:val="tx1"/>
            </w14:solidFill>
          </w14:textFill>
        </w:rPr>
        <w:t xml:space="preserve">hăm sóc </w:t>
      </w:r>
      <w:r>
        <w:rPr>
          <w:rFonts w:hint="default"/>
          <w:color w:val="000000" w:themeColor="text1"/>
          <w:sz w:val="26"/>
          <w:szCs w:val="26"/>
          <w:lang w:val="en-GB"/>
          <w14:textFill>
            <w14:solidFill>
              <w14:schemeClr w14:val="tx1"/>
            </w14:solidFill>
          </w14:textFill>
        </w:rPr>
        <w:t>s</w:t>
      </w:r>
      <w:r>
        <w:rPr>
          <w:color w:val="000000" w:themeColor="text1"/>
          <w:sz w:val="26"/>
          <w:szCs w:val="26"/>
          <w:lang w:val="vi-VN"/>
          <w14:textFill>
            <w14:solidFill>
              <w14:schemeClr w14:val="tx1"/>
            </w14:solidFill>
          </w14:textFill>
        </w:rPr>
        <w:t>ức khỏe tại tỉnh; định hướng và cấp phép cho các cơ sở cung cấp dịch vụ chữa bệnh và nghỉ dưỡng cao cấp sử dụng sản phẩm từ thảo dược nghiên cứu tại tỉnh. Sở Y tế đặt hàng tối thiểu 01 - 02 bài toán ĐMST trong lĩnh vực y tế số, quản lý bệnh viện thông minh, chăm sóc sức khỏe từ xamỗi năm thông qua Chương trình Innovation Challenge của các Trung tâm ĐMST; phối hợp thẩm định năng lực và cấp chứng nhận ứng dụng y tế số cho các sản phẩm được phát triển trong hệ sinh thái.</w:t>
      </w:r>
    </w:p>
    <w:p w14:paraId="4113D906">
      <w:pPr>
        <w:pStyle w:val="4"/>
        <w:rPr>
          <w:color w:val="000000" w:themeColor="text1"/>
          <w14:textFill>
            <w14:solidFill>
              <w14:schemeClr w14:val="tx1"/>
            </w14:solidFill>
          </w14:textFill>
        </w:rPr>
      </w:pPr>
      <w:bookmarkStart w:id="137" w:name="_Toc233183724"/>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.9. Sở Tư pháp (Chính sách và Hành lang pháp lý)</w:t>
      </w:r>
      <w:bookmarkEnd w:id="137"/>
    </w:p>
    <w:p w14:paraId="31799EE9">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Sở Tư pháp phối hợp tham gia góp ý, thẩm định các văn bản quy phạm pháp luật liên quan đến phát triển hệ sinh thái ĐMST; bảo đảm tính hợp hiến, hợp pháp và thống nhất của hệ thống pháp luật; phối hợp nghiên cứu, hoàn thiện cơ chế pháp lý cho các mô hình thử nghiệm có kiểm soát (sandbox); hỗ trợ pháp lý cho doanh nghiệp, tổ chức và cá nhân tham gia hoạt động ĐMST theo quy định của pháp luật.</w:t>
      </w:r>
    </w:p>
    <w:p w14:paraId="21D2216B">
      <w:pPr>
        <w:pStyle w:val="4"/>
        <w:rPr>
          <w:color w:val="000000" w:themeColor="text1"/>
          <w14:textFill>
            <w14:solidFill>
              <w14:schemeClr w14:val="tx1"/>
            </w14:solidFill>
          </w14:textFill>
        </w:rPr>
      </w:pPr>
      <w:bookmarkStart w:id="138" w:name="_Toc233183725"/>
      <w:r>
        <w:rPr>
          <w:rFonts w:hint="default"/>
          <w:color w:val="000000" w:themeColor="text1"/>
          <w:lang w:val="en-GB"/>
          <w14:textFill>
            <w14:solidFill>
              <w14:schemeClr w14:val="tx1"/>
            </w14:solidFill>
          </w14:textFill>
        </w:rPr>
        <w:t>2</w:t>
      </w:r>
      <w:r>
        <w:rPr>
          <w:color w:val="000000" w:themeColor="text1"/>
          <w14:textFill>
            <w14:solidFill>
              <w14:schemeClr w14:val="tx1"/>
            </w14:solidFill>
          </w14:textFill>
        </w:rPr>
        <w:t>.10. Văn phòng UBND tỉnh và các Sở, Ban, Ngành khác (Hỗ trợ điều phối)</w:t>
      </w:r>
      <w:bookmarkEnd w:id="138"/>
    </w:p>
    <w:p w14:paraId="1558D85F">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Văn phòng UBND tỉnh đóng vai trò điều phối các hoạt động hành chính, đảm bảo thông suốt mọi quy trình phê duyệt, phân công và theo dõi thực hiện Đề án ở cấp tỉnh. Văn phòng UBND tỉnh chủ trì duy trì lịch họp báo cáo định kỳ hành quý; tổng hợp, xử lý và phân phối thông tin, báo cáo tiến độ giữa Sở KH&amp;CN (đầu mối) và lãnh đạo UBND tỉnh; theo dõi và đôn đốc các sở ngành thực hiện đúng tiến độ các nhiệm vụ được phân công trong Đề án.</w:t>
      </w:r>
    </w:p>
    <w:p w14:paraId="0C716777">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UBND các xã, phường trực thuộc tỉnh có trách nhiệm: hỗ trợ thành lập và vận hành các </w:t>
      </w:r>
      <w:r>
        <w:rPr>
          <w:color w:val="000000" w:themeColor="text1"/>
          <w:sz w:val="26"/>
          <w:szCs w:val="26"/>
          <w:lang w:val="en-GB"/>
          <w14:textFill>
            <w14:solidFill>
              <w14:schemeClr w14:val="tx1"/>
            </w14:solidFill>
          </w14:textFill>
        </w:rPr>
        <w:t>Không gian khởi nghiệp sáng tạo cộng đồng</w:t>
      </w:r>
      <w:r>
        <w:rPr>
          <w:color w:val="000000" w:themeColor="text1"/>
          <w:sz w:val="26"/>
          <w:szCs w:val="26"/>
          <w:lang w:val="vi-VN"/>
          <w14:textFill>
            <w14:solidFill>
              <w14:schemeClr w14:val="tx1"/>
            </w14:solidFill>
          </w14:textFill>
        </w:rPr>
        <w:t xml:space="preserve"> cấp xã, phường; tuyên truyền, phổ biến về hệ sinh thái ĐMST và các chương trình hỗ trợ của tỉnh đến cộng đồng doanh nghiệp và người dân; hỗ trợ startup và doanh nghiệp ĐMST tiếp cận quỹ đất và hạ tầng tại địa phương theo đúng quy hoạch; phát hiện và giới thiệu các ý tưởng sáng tạo tiềm năng từ cộng đồng lên các cấp cao hơn trong hệ sinh thái. Hiệp hội Doanh nghiệp tỉnh và các tổ chức chính trị – xã hội phối hợp vận động, thu hút doanh nghiệp thành viên tham gia vào hệ sinh thái ĐMST; cung cấp thông tin về nhu cầu ĐMST của cộng đồng doanh nghiệp; hỗ trợ truyền thông và tổ chức các sự kiện kết nối, xúc tiến đầu tư trong lĩnh vực ĐMST.</w:t>
      </w:r>
    </w:p>
    <w:p w14:paraId="759B077C">
      <w:pPr>
        <w:pStyle w:val="3"/>
        <w:rPr>
          <w:color w:val="000000" w:themeColor="text1"/>
          <w14:textFill>
            <w14:solidFill>
              <w14:schemeClr w14:val="tx1"/>
            </w14:solidFill>
          </w14:textFill>
        </w:rPr>
      </w:pPr>
      <w:bookmarkStart w:id="139" w:name="_Toc233183726"/>
      <w:r>
        <w:rPr>
          <w:color w:val="000000" w:themeColor="text1"/>
          <w14:textFill>
            <w14:solidFill>
              <w14:schemeClr w14:val="tx1"/>
            </w14:solidFill>
          </w14:textFill>
        </w:rPr>
        <w:t>II. CƠ CHẾ VẬN HÀNH VÀ GIÁM SÁT</w:t>
      </w:r>
      <w:bookmarkEnd w:id="139"/>
    </w:p>
    <w:p w14:paraId="577B1648">
      <w:pPr>
        <w:pStyle w:val="4"/>
        <w:rPr>
          <w:color w:val="000000" w:themeColor="text1"/>
          <w14:textFill>
            <w14:solidFill>
              <w14:schemeClr w14:val="tx1"/>
            </w14:solidFill>
          </w14:textFill>
        </w:rPr>
      </w:pPr>
      <w:bookmarkStart w:id="140" w:name="_Toc233183727"/>
      <w:r>
        <w:rPr>
          <w:color w:val="000000" w:themeColor="text1"/>
          <w14:textFill>
            <w14:solidFill>
              <w14:schemeClr w14:val="tx1"/>
            </w14:solidFill>
          </w14:textFill>
        </w:rPr>
        <w:t>2.1. Chế độ báo cáo và đánh giá</w:t>
      </w:r>
      <w:bookmarkEnd w:id="140"/>
    </w:p>
    <w:p w14:paraId="2812BA20">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Hệ thống giám sát và đánh giá Đề án được thiết kế theo nguyên tắc minh bạch dữ liệu và ra quyết định dựa trên bằng chứng. Toàn bộ chỉ số KPI của hệ sinh thái được cập nhật tự động qua nền tảng Ninhbinh Innovation Port và hiển thị trên dashboard theo thời gian thực cho cơ quan quản lý và công chúng.</w:t>
      </w:r>
    </w:p>
    <w:p w14:paraId="717B1BAA">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Chế độ báo cáo định kỳ được thực hiện theo ba cấp: Báo cáo hàng tháng (do Giám đốc Trung tâm ĐMST hạt nhân gửi Sở KH&amp;CN): cập nhật số lượng startup được hỗ trợ, kết quả chương trình ươm tạo, tiến độ xây dựng hạ tầng, các vấn đề phát sinh và kiến nghị xử lý. Báo cáo hàng quý (do Sở KH&amp;CN tổng hợp, trình UBND tỉnh và Hội đồng Điều phối): đánh giá tiến độ thực hiện Đề án theo từng nhóm nhiệm vụ, so sánh với KPI kế hoạch, phân tích nguyên nhân chênh lệch và đề xuất điều chỉnh; tổ chức họp Hội đồng Điều phối để thảo luận và ra quyết định. Báo cáo hàng năm (do UBND tỉnh phê duyệt, công bố công khai): đánh giá toàn diện kết quả năm, tác động kinh tế – xã hội của hệ sinh thái ĐMST, kết quả thu hút đầu tư, số lượng và chất lượng startup, hiệu quả sử dụng ngân sách và kế hoạch năm tiếp theo.</w:t>
      </w:r>
    </w:p>
    <w:p w14:paraId="1AE131E3">
      <w:pPr>
        <w:pStyle w:val="4"/>
        <w:rPr>
          <w:color w:val="000000" w:themeColor="text1"/>
          <w14:textFill>
            <w14:solidFill>
              <w14:schemeClr w14:val="tx1"/>
            </w14:solidFill>
          </w14:textFill>
        </w:rPr>
      </w:pPr>
      <w:bookmarkStart w:id="141" w:name="_Toc233183728"/>
      <w:r>
        <w:rPr>
          <w:color w:val="000000" w:themeColor="text1"/>
          <w14:textFill>
            <w14:solidFill>
              <w14:schemeClr w14:val="tx1"/>
            </w14:solidFill>
          </w14:textFill>
        </w:rPr>
        <w:t>2.2. Cơ chế theo dõi và điều chỉnh</w:t>
      </w:r>
      <w:bookmarkEnd w:id="141"/>
    </w:p>
    <w:p w14:paraId="4C437EF2">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Đề án áp dụng nguyên tắc quản lý linh hoạt: định kỳ 06 tháng, Sở KH&amp;CN phối hợp với các đơn vị liên quan tiến hành rà soát toàn diện tiến độ và kết quả; nếu phát hiện chỉ tiêu không đạt hoặc bối cảnh thay đổi đáng kể (biến động kinh tế vĩ mô, chính sách mới của Trung ương, cơ hội FDI mới), Sở KH&amp;CN có quyền đề xuất điều chỉnh kế hoạch và trình UBND tỉnh phê duyệt mà không phải chờ đến cuối năm. Tất cả các điều chỉnh phải dựa trên dữ liệu thực tiễn từ nền tảng Ninhbinh Innovation Port và phân tích độc lập từ chuyên gia; các điều chỉnh lớn (thay đổi mục tiêu, tăng/giảm ngân sách trên 20%) phải được Hội đồng Điều phối thông qua trước khi trình UBND tỉnh phê duyệt.</w:t>
      </w:r>
    </w:p>
    <w:p w14:paraId="5469ED91">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Định kỳ 02 năm, tỉnh Ninh Bình tổ chức đánh giá độc lập toàn bộ Đề án bởi đơn vị tư vấn độc lập có chuyên môn về hệ sinh thái ĐMST; kết quả đánh giá được công bố công khai và là cơ sở quan trọng để điều chỉnh chiến lược phát triển hệ sinh thái ĐMST giai đoạn tiếp theo.</w:t>
      </w:r>
    </w:p>
    <w:p w14:paraId="7ECBC3D7">
      <w:pPr>
        <w:pStyle w:val="3"/>
        <w:rPr>
          <w:color w:val="000000" w:themeColor="text1"/>
          <w14:textFill>
            <w14:solidFill>
              <w14:schemeClr w14:val="tx1"/>
            </w14:solidFill>
          </w14:textFill>
        </w:rPr>
      </w:pPr>
      <w:bookmarkStart w:id="142" w:name="_Toc233183729"/>
      <w:r>
        <w:rPr>
          <w:color w:val="000000" w:themeColor="text1"/>
          <w14:textFill>
            <w14:solidFill>
              <w14:schemeClr w14:val="tx1"/>
            </w14:solidFill>
          </w14:textFill>
        </w:rPr>
        <w:t>III. CAM KẾT THỰC HIỆN VÀ TINH THẦN ĐỔI MỚI</w:t>
      </w:r>
      <w:bookmarkEnd w:id="142"/>
    </w:p>
    <w:p w14:paraId="6A250C15">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Xây dựng và phát triển Hệ sinh thái ĐMST và Khởi nghiệp tỉnh Ninh Bình là một hành trình dài hơi, đòi hỏi sự kiên định về tầm nhìn, linh hoạt trong triển khai và quyết tâm cao từ toàn bộ hệ thống chính trị của tỉnh. Thành công của hệ sinh thái không chỉ được đo bằng các chỉ số kinh tế đơn thuần, mà còn ở sự hình thành một nền văn hóa sáng tạo, một cộng đồng dám nghĩ – dám làm – dám đổi mới đặc trưng của người Ninh Bình trong kỷ nguyên mới.</w:t>
      </w:r>
    </w:p>
    <w:p w14:paraId="2A4D80EF">
      <w:pPr>
        <w:spacing w:before="80" w:after="80" w:line="360" w:lineRule="auto"/>
        <w:ind w:firstLine="720"/>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Tỉnh Ninh Bình xác định rõ: thất bại trong ĐMST là một phần tất yếu và chấp nhận được, miễn là có học hỏi và điều chỉnh; còn sự trì trệ, không hành động và từ chối thay đổi mới là rủi ro thực sự đe dọa tương lai phát triển của địa phương. Với tinh thần đó, mỗi cán bộ, công chức, mỗi doanh nhân và mỗi người dân Ninh Bình đều là một “nhà đổi mới sáng tạo” trong phạm vi trách nhiệm và cơ hội của mình. Hệ sinh thái ĐMST chỉ là hạt nhân, còn sức mạnh thật sự của hệ sinh thái đến từ tinh thần sáng tạo và khát vọng vươn lên của cả cộng đồng Ninh Bình.</w:t>
      </w:r>
      <w:bookmarkStart w:id="143" w:name="_aooebn1xs1zr" w:colFirst="0" w:colLast="0"/>
      <w:bookmarkEnd w:id="143"/>
      <w:bookmarkStart w:id="144" w:name="_ofbvq73amzs6" w:colFirst="0" w:colLast="0"/>
      <w:bookmarkEnd w:id="144"/>
    </w:p>
    <w:p w14:paraId="7A581B99">
      <w:pPr>
        <w:pStyle w:val="2"/>
        <w:pageBreakBefore/>
        <w:jc w:val="center"/>
        <w:rPr>
          <w:color w:val="000000" w:themeColor="text1"/>
          <w:lang w:val="vi-VN"/>
          <w14:textFill>
            <w14:solidFill>
              <w14:schemeClr w14:val="tx1"/>
            </w14:solidFill>
          </w14:textFill>
        </w:rPr>
      </w:pPr>
      <w:bookmarkStart w:id="145" w:name="_Toc233183730"/>
      <w:r>
        <w:rPr>
          <w:color w:val="000000" w:themeColor="text1"/>
          <w:lang w:val="vi-VN"/>
          <w14:textFill>
            <w14:solidFill>
              <w14:schemeClr w14:val="tx1"/>
            </w14:solidFill>
          </w14:textFill>
        </w:rPr>
        <w:t>PHỤ LỤC:</w:t>
      </w:r>
      <w:r>
        <w:rPr>
          <w:color w:val="000000" w:themeColor="text1"/>
          <w:lang w:val="vi-VN"/>
          <w14:textFill>
            <w14:solidFill>
              <w14:schemeClr w14:val="tx1"/>
            </w14:solidFill>
          </w14:textFill>
        </w:rPr>
        <w:br w:type="textWrapping"/>
      </w:r>
      <w:r>
        <w:rPr>
          <w:color w:val="000000" w:themeColor="text1"/>
          <w:lang w:val="vi-VN"/>
          <w14:textFill>
            <w14:solidFill>
              <w14:schemeClr w14:val="tx1"/>
            </w14:solidFill>
          </w14:textFill>
        </w:rPr>
        <w:t>KINH NGHIỆM TRONG NƯỚC, QUỐC TẾ</w:t>
      </w:r>
      <w:bookmarkEnd w:id="145"/>
    </w:p>
    <w:p w14:paraId="2127C76D">
      <w:pPr>
        <w:widowControl w:val="0"/>
        <w:spacing w:before="120" w:line="360" w:lineRule="auto"/>
        <w:ind w:firstLine="567"/>
        <w:rPr>
          <w:b/>
          <w:bCs/>
          <w:color w:val="000000" w:themeColor="text1"/>
          <w:sz w:val="26"/>
          <w:szCs w:val="26"/>
          <w:lang w:val="vi-VN"/>
          <w14:textFill>
            <w14:solidFill>
              <w14:schemeClr w14:val="tx1"/>
            </w14:solidFill>
          </w14:textFill>
        </w:rPr>
      </w:pPr>
      <w:bookmarkStart w:id="146" w:name="_wcgtpvq9m526" w:colFirst="0" w:colLast="0"/>
      <w:bookmarkEnd w:id="146"/>
      <w:r>
        <w:rPr>
          <w:b/>
          <w:bCs/>
          <w:color w:val="000000" w:themeColor="text1"/>
          <w:sz w:val="26"/>
          <w:szCs w:val="26"/>
          <w:lang w:val="vi-VN"/>
          <w14:textFill>
            <w14:solidFill>
              <w14:schemeClr w14:val="tx1"/>
            </w14:solidFill>
          </w14:textFill>
        </w:rPr>
        <w:t>1. Kinh nghiệm trong nước</w:t>
      </w:r>
    </w:p>
    <w:p w14:paraId="0E1A6A68">
      <w:pPr>
        <w:spacing w:before="120" w:line="360" w:lineRule="auto"/>
        <w:ind w:firstLine="567"/>
        <w:rPr>
          <w:i/>
          <w:iCs/>
          <w:color w:val="000000" w:themeColor="text1"/>
          <w:sz w:val="26"/>
          <w:szCs w:val="26"/>
          <w:lang w:val="vi-VN"/>
          <w14:textFill>
            <w14:solidFill>
              <w14:schemeClr w14:val="tx1"/>
            </w14:solidFill>
          </w14:textFill>
        </w:rPr>
      </w:pPr>
      <w:bookmarkStart w:id="147" w:name="_he79cryjwfb" w:colFirst="0" w:colLast="0"/>
      <w:bookmarkEnd w:id="147"/>
      <w:r>
        <w:rPr>
          <w:b/>
          <w:bCs/>
          <w:i/>
          <w:iCs/>
          <w:color w:val="000000" w:themeColor="text1"/>
          <w:sz w:val="26"/>
          <w:szCs w:val="26"/>
          <w:lang w:val="vi-VN"/>
          <w14:textFill>
            <w14:solidFill>
              <w14:schemeClr w14:val="tx1"/>
            </w14:solidFill>
          </w14:textFill>
        </w:rPr>
        <w:t>a. Phân tích mô hình Triple Helix và bài học thực tiễn từ tỉnh Bình Dương</w:t>
      </w:r>
    </w:p>
    <w:p w14:paraId="2670C809">
      <w:pPr>
        <w:spacing w:before="120" w:line="360" w:lineRule="auto"/>
        <w:ind w:firstLine="567"/>
        <w:rPr>
          <w:color w:val="000000" w:themeColor="text1"/>
          <w:spacing w:val="-6"/>
          <w:sz w:val="26"/>
          <w:szCs w:val="26"/>
          <w:lang w:val="vi-VN"/>
          <w14:textFill>
            <w14:solidFill>
              <w14:schemeClr w14:val="tx1"/>
            </w14:solidFill>
          </w14:textFill>
        </w:rPr>
      </w:pPr>
      <w:r>
        <w:rPr>
          <w:color w:val="000000" w:themeColor="text1"/>
          <w:spacing w:val="-6"/>
          <w:sz w:val="26"/>
          <w:szCs w:val="26"/>
          <w:lang w:val="vi-VN"/>
          <w14:textFill>
            <w14:solidFill>
              <w14:schemeClr w14:val="tx1"/>
            </w14:solidFill>
          </w14:textFill>
        </w:rPr>
        <w:t xml:space="preserve">Mô hình Triple Helix, hay còn gọi là mô hình hợp tác “Ba nhà”, được coi là nền tảng lý luận quan trọng nhất trong việc vận hành các hệ sinh thái ĐMST tại Việt Nam. Theo lý thuyết này, mối quan hệ tương tác giữa Nhà nước, Doanh nghiệp và Trường đại học tạo ra một vòng xoáy đi lên, thúc đẩy việc tạo ra, ứng dụng và thương mại hóa tri thức. </w:t>
      </w:r>
    </w:p>
    <w:tbl>
      <w:tblPr>
        <w:tblStyle w:val="48"/>
        <w:tblW w:w="90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253"/>
        <w:gridCol w:w="3106"/>
      </w:tblGrid>
      <w:tr w14:paraId="006DA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96" w:type="dxa"/>
            <w:vAlign w:val="center"/>
          </w:tcPr>
          <w:p w14:paraId="4FB6DA35">
            <w:pPr>
              <w:spacing w:line="36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Thành phần chủ chốt</w:t>
            </w:r>
          </w:p>
        </w:tc>
        <w:tc>
          <w:tcPr>
            <w:tcW w:w="4253" w:type="dxa"/>
            <w:vAlign w:val="center"/>
          </w:tcPr>
          <w:p w14:paraId="34DE1466">
            <w:pPr>
              <w:spacing w:line="36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Vai trò và cơ chế vận hành tại Bình Dương</w:t>
            </w:r>
          </w:p>
        </w:tc>
        <w:tc>
          <w:tcPr>
            <w:tcW w:w="3106" w:type="dxa"/>
            <w:vAlign w:val="center"/>
          </w:tcPr>
          <w:p w14:paraId="46C14B2C">
            <w:pPr>
              <w:spacing w:line="36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Tác động lan tỏa đến hệ sinh thái</w:t>
            </w:r>
          </w:p>
        </w:tc>
      </w:tr>
      <w:tr w14:paraId="588AE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96" w:type="dxa"/>
            <w:vAlign w:val="center"/>
          </w:tcPr>
          <w:p w14:paraId="08BB5C22">
            <w:pPr>
              <w:spacing w:line="360" w:lineRule="auto"/>
              <w:jc w:val="left"/>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Nhà nước</w:t>
            </w:r>
          </w:p>
        </w:tc>
        <w:tc>
          <w:tcPr>
            <w:tcW w:w="4253" w:type="dxa"/>
            <w:vAlign w:val="center"/>
          </w:tcPr>
          <w:p w14:paraId="16CA3B0E">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Đóng vai trò kiến tạo, đưa ra định hướng chiến lược và quy hoạch các phân khu chức năng (Vùng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 Chính quyền tỉnh hỗ trợ về quỹ đất và chính sách ưu đãi cho các trung tâm nghiên cứu.</w:t>
            </w:r>
          </w:p>
        </w:tc>
        <w:tc>
          <w:tcPr>
            <w:tcW w:w="3106" w:type="dxa"/>
            <w:vAlign w:val="center"/>
          </w:tcPr>
          <w:p w14:paraId="674837A0">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Xây dựng niềm tin cho các nhà đầu tư và tạo hành lang pháp lý an toàn cho các hoạt động khởi nghiệp sáng tạo.</w:t>
            </w:r>
          </w:p>
        </w:tc>
      </w:tr>
      <w:tr w14:paraId="7B864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96" w:type="dxa"/>
            <w:vAlign w:val="center"/>
          </w:tcPr>
          <w:p w14:paraId="6483E9B6">
            <w:pPr>
              <w:spacing w:line="360" w:lineRule="auto"/>
              <w:jc w:val="left"/>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Doanh nghiệp</w:t>
            </w:r>
          </w:p>
        </w:tc>
        <w:tc>
          <w:tcPr>
            <w:tcW w:w="4253" w:type="dxa"/>
            <w:vAlign w:val="center"/>
          </w:tcPr>
          <w:p w14:paraId="33A9E2B4">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Tập đoàn Becamex IDC đóng vai trò là "doanh nghiệp đầu tàu", trực tiếp đầu tư hạ tầng KCN thế hệ mới, vườn ươm doanh nghiệp, Fablab và các phòng thí nghiệm hiện đại.</w:t>
            </w:r>
          </w:p>
        </w:tc>
        <w:tc>
          <w:tcPr>
            <w:tcW w:w="3106" w:type="dxa"/>
            <w:vAlign w:val="center"/>
          </w:tcPr>
          <w:p w14:paraId="176AE956">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Kết nối trực tiếp giữa nghiên cứu và thị trường, giúp các startup có môi trường thử nghiệm thực tế trong chuỗi cung ứng công nghiệp.</w:t>
            </w:r>
          </w:p>
        </w:tc>
      </w:tr>
      <w:tr w14:paraId="042BB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96" w:type="dxa"/>
            <w:vAlign w:val="center"/>
          </w:tcPr>
          <w:p w14:paraId="69A4DCE2">
            <w:pPr>
              <w:spacing w:line="360" w:lineRule="auto"/>
              <w:jc w:val="left"/>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Nhà trường</w:t>
            </w:r>
          </w:p>
        </w:tc>
        <w:tc>
          <w:tcPr>
            <w:tcW w:w="4253" w:type="dxa"/>
            <w:vAlign w:val="center"/>
          </w:tcPr>
          <w:p w14:paraId="74BAAB48">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Các trường như Đại học Quốc tế Miền Đông (EIU) trở thành trung tâm của vùng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 thực hiện các nghiên cứu ứng dụng và đào tạo nhân lực trình độ cao theo yêu cầu thực tế của doanh nghiệp.</w:t>
            </w:r>
          </w:p>
        </w:tc>
        <w:tc>
          <w:tcPr>
            <w:tcW w:w="3106" w:type="dxa"/>
            <w:vAlign w:val="center"/>
          </w:tcPr>
          <w:p w14:paraId="3849D98D">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Đảm bảo dòng chảy liên tục của tri thức và kỹ năng mới, giảm thiểu khoảng cách giữa đào tạo và sử dụng lao động.</w:t>
            </w:r>
          </w:p>
        </w:tc>
      </w:tr>
    </w:tbl>
    <w:p w14:paraId="1CC06B2E">
      <w:pPr>
        <w:spacing w:before="120" w:line="360" w:lineRule="auto"/>
        <w:ind w:firstLine="567"/>
        <w:rPr>
          <w:color w:val="000000" w:themeColor="text1"/>
          <w:spacing w:val="-4"/>
          <w:sz w:val="26"/>
          <w:szCs w:val="26"/>
          <w14:textFill>
            <w14:solidFill>
              <w14:schemeClr w14:val="tx1"/>
            </w14:solidFill>
          </w14:textFill>
        </w:rPr>
      </w:pPr>
      <w:r>
        <w:rPr>
          <w:color w:val="000000" w:themeColor="text1"/>
          <w:spacing w:val="-4"/>
          <w:sz w:val="26"/>
          <w:szCs w:val="26"/>
          <w14:textFill>
            <w14:solidFill>
              <w14:schemeClr w14:val="tx1"/>
            </w14:solidFill>
          </w14:textFill>
        </w:rPr>
        <w:t>Kinh nghiệm của Bình Dương cho thấy sự chuyển đổi từ một khu vực thuần nông sang một trung tâm công nghiệp công nghệ cao đòi hỏi một chiến lược dài hạn và sự kiên trì. Việc hình thành các "Innovation Hub" (</w:t>
      </w:r>
      <w:r>
        <w:rPr>
          <w:color w:val="000000" w:themeColor="text1"/>
          <w:spacing w:val="-4"/>
          <w:sz w:val="26"/>
          <w:szCs w:val="26"/>
          <w:lang w:val="en-GB"/>
          <w14:textFill>
            <w14:solidFill>
              <w14:schemeClr w14:val="tx1"/>
            </w14:solidFill>
          </w14:textFill>
        </w:rPr>
        <w:t>Không gian khởi nghiệp sáng tạo cộng đồng</w:t>
      </w:r>
      <w:r>
        <w:rPr>
          <w:color w:val="000000" w:themeColor="text1"/>
          <w:spacing w:val="-4"/>
          <w:sz w:val="26"/>
          <w:szCs w:val="26"/>
          <w14:textFill>
            <w14:solidFill>
              <w14:schemeClr w14:val="tx1"/>
            </w14:solidFill>
          </w14:textFill>
        </w:rPr>
        <w:t xml:space="preserve">) tại Thủ Dầu Một, bao gồm cả các cơ sở giáo dục STEM và Tech Playground, đã giúp Bình Dương không chỉ thu hút vốn đầu tư mà còn thu hút được cả các chuyên gia giỏi trong và ngoài nước. Đối với Ninh Bình, bài học quan trọng nhất là cần xác định được những doanh nghiệp chủ lực có đủ năng lực dẫn dắt hạ tầng </w:t>
      </w:r>
      <w:r>
        <w:rPr>
          <w:color w:val="000000" w:themeColor="text1"/>
          <w:spacing w:val="-4"/>
          <w:sz w:val="26"/>
          <w:szCs w:val="26"/>
          <w:lang w:val="en-GB"/>
          <w14:textFill>
            <w14:solidFill>
              <w14:schemeClr w14:val="tx1"/>
            </w14:solidFill>
          </w14:textFill>
        </w:rPr>
        <w:t>ĐMST</w:t>
      </w:r>
      <w:r>
        <w:rPr>
          <w:color w:val="000000" w:themeColor="text1"/>
          <w:spacing w:val="-4"/>
          <w:sz w:val="26"/>
          <w:szCs w:val="26"/>
          <w14:textFill>
            <w14:solidFill>
              <w14:schemeClr w14:val="tx1"/>
            </w14:solidFill>
          </w14:textFill>
        </w:rPr>
        <w:t>, đồng thời nâng tầm vai trò của các trường đại học địa phương như các trường đại học tại Khu Đại học Nam Cao trong chuỗi giá trị tri thức.</w:t>
      </w:r>
    </w:p>
    <w:p w14:paraId="1CDC8F9E">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Hơn thế nữa, nền tảng “Beca Smart” của Bình Dương là một ví dụ điển hình về việc số hóa quản trị đô thị và khu công nghiệp. Nền tảng này không chỉ giúp quản lý hiệu quả hạ tầng kỹ thuật mà còn tạo ra một môi trường tương tác số linh hoạt cho các doanh nghiệp và cơ quan hành chính. Đây là gợi ý quan trọng cho Ninh Bình khi thực hiện sáp nhập tỉnh, nơi mà việc quản lý các KCN phân tán và hệ thống hành chính mới đòi hỏi một công cụ số hóa mạnh mẽ để đảm bảo tính liên tục và minh bạch.</w:t>
      </w:r>
    </w:p>
    <w:p w14:paraId="547E53F3">
      <w:pPr>
        <w:spacing w:before="120" w:line="259" w:lineRule="auto"/>
        <w:ind w:firstLine="567"/>
        <w:rPr>
          <w:i/>
          <w:iCs/>
          <w:color w:val="000000" w:themeColor="text1"/>
          <w:sz w:val="26"/>
          <w:szCs w:val="26"/>
          <w14:textFill>
            <w14:solidFill>
              <w14:schemeClr w14:val="tx1"/>
            </w14:solidFill>
          </w14:textFill>
        </w:rPr>
      </w:pPr>
      <w:bookmarkStart w:id="148" w:name="_b6jsqjnybjql" w:colFirst="0" w:colLast="0"/>
      <w:bookmarkEnd w:id="148"/>
      <w:r>
        <w:rPr>
          <w:b/>
          <w:bCs/>
          <w:i/>
          <w:iCs/>
          <w:color w:val="000000" w:themeColor="text1"/>
          <w:sz w:val="26"/>
          <w:szCs w:val="26"/>
          <w14:textFill>
            <w14:solidFill>
              <w14:schemeClr w14:val="tx1"/>
            </w14:solidFill>
          </w14:textFill>
        </w:rPr>
        <w:t>b. Cơ chế Sandbox và đột phá thể chế: Kinh nghiệm từ Đà Nẵng và Thành phố Hồ Chí Minh</w:t>
      </w:r>
    </w:p>
    <w:p w14:paraId="0D6769EC">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Trong lĩnh vực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các rào cản pháp lý thường là trở ngại lớn nhất đối với các công nghệ mới. Đà Nẵng đã tạo ra một bước bứt phá khi tận dụng Nghị quyết 136/2024/QH15 để triển khai các cơ chế thử nghiệm có kiểm soát (Sandbox). Cơ chế này cho phép các doanh nghiệp triển khai các mô hình công nghệ mới trong một phạm vi và thời gian nhất định dưới sự giám sát của chính quyền, ngay cả khi các quy định pháp luật hiện hành chưa bao phủ hết.</w:t>
      </w:r>
    </w:p>
    <w:p w14:paraId="535731A3">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Thí điểm công nghệ mới và quỹ hỗ trợ khởi nghiệp tại Đà Nẵng</w:t>
      </w:r>
    </w:p>
    <w:p w14:paraId="53182F2D">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Đà Nẵng tập trung vào 5 nhóm công nghệ chiến lược bao gồm: Trí tuệ nhân tạo (AI), Dữ liệu lớn (Big Data), Blockchain, Fintech và Công nghệ lượng tử. Đặc biệt, thành phố này lần đầu tiên được cấp phép thử nghiệm việc trao đổi tài sản mã hóa với tiền pháp định dựa trên công nghệ Blockchain, một động thái cho thấy sự dũng cảm trong việc tiếp cận các xu hướng kinh tế số mới nhất.</w:t>
      </w:r>
    </w:p>
    <w:p w14:paraId="61D6BFF1">
      <w:pPr>
        <w:spacing w:before="120" w:line="360" w:lineRule="auto"/>
        <w:ind w:firstLine="567"/>
        <w:rPr>
          <w:color w:val="000000" w:themeColor="text1"/>
          <w:sz w:val="26"/>
          <w:szCs w:val="26"/>
          <w14:textFill>
            <w14:solidFill>
              <w14:schemeClr w14:val="tx1"/>
            </w14:solidFill>
          </w14:textFill>
        </w:rPr>
      </w:pPr>
    </w:p>
    <w:tbl>
      <w:tblPr>
        <w:tblStyle w:val="49"/>
        <w:tblW w:w="94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3402"/>
        <w:gridCol w:w="3760"/>
      </w:tblGrid>
      <w:tr w14:paraId="097F6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068E5E4A">
            <w:pPr>
              <w:spacing w:line="36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Chính sách hỗ trợ tại Đà Nẵng</w:t>
            </w:r>
          </w:p>
        </w:tc>
        <w:tc>
          <w:tcPr>
            <w:tcW w:w="3402" w:type="dxa"/>
            <w:vAlign w:val="center"/>
          </w:tcPr>
          <w:p w14:paraId="1EC3F947">
            <w:pPr>
              <w:spacing w:line="36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Chi tiết triển khai theo Nghị quyết 136</w:t>
            </w:r>
          </w:p>
        </w:tc>
        <w:tc>
          <w:tcPr>
            <w:tcW w:w="3760" w:type="dxa"/>
            <w:vAlign w:val="center"/>
          </w:tcPr>
          <w:p w14:paraId="5F3EDBB4">
            <w:pPr>
              <w:spacing w:line="360" w:lineRule="auto"/>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Mục tiêu hướng tới</w:t>
            </w:r>
          </w:p>
        </w:tc>
      </w:tr>
      <w:tr w14:paraId="46B19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78161586">
            <w:pPr>
              <w:spacing w:line="360" w:lineRule="auto"/>
              <w:jc w:val="left"/>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Cơ chế Sandbox</w:t>
            </w:r>
          </w:p>
        </w:tc>
        <w:tc>
          <w:tcPr>
            <w:tcW w:w="3402" w:type="dxa"/>
            <w:vAlign w:val="center"/>
          </w:tcPr>
          <w:p w14:paraId="0244AAB9">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Thử nghiệm bản sao số 15 lớp, phương tiện bay không người lái và các dịch vụ tài chính mới.</w:t>
            </w:r>
          </w:p>
        </w:tc>
        <w:tc>
          <w:tcPr>
            <w:tcW w:w="3760" w:type="dxa"/>
            <w:vAlign w:val="center"/>
          </w:tcPr>
          <w:p w14:paraId="1F56240C">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Biến thành phố thành một “phòng thí nghiệm sống” cho các giải pháp đô thị thông minh.</w:t>
            </w:r>
          </w:p>
        </w:tc>
      </w:tr>
      <w:tr w14:paraId="202AC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2578C1CF">
            <w:pPr>
              <w:spacing w:line="360" w:lineRule="auto"/>
              <w:jc w:val="left"/>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Ưu đãi thuế</w:t>
            </w:r>
          </w:p>
        </w:tc>
        <w:tc>
          <w:tcPr>
            <w:tcW w:w="3402" w:type="dxa"/>
            <w:vAlign w:val="center"/>
          </w:tcPr>
          <w:p w14:paraId="24AFD886">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Miễn, giảm thuế cho 34 doanh nghiệp khởi nghiệp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và 11 doanh nghiệp vi mạch bán dẫn, AI.</w:t>
            </w:r>
          </w:p>
        </w:tc>
        <w:tc>
          <w:tcPr>
            <w:tcW w:w="3760" w:type="dxa"/>
            <w:vAlign w:val="center"/>
          </w:tcPr>
          <w:p w14:paraId="09125A9C">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Giảm gánh nặng tài chính ban đầu cho các doanh nghiệp công nghệ cao.</w:t>
            </w:r>
          </w:p>
        </w:tc>
      </w:tr>
      <w:tr w14:paraId="4290F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237677B0">
            <w:pPr>
              <w:spacing w:line="360" w:lineRule="auto"/>
              <w:jc w:val="left"/>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Quỹ đầu tư</w:t>
            </w:r>
          </w:p>
        </w:tc>
        <w:tc>
          <w:tcPr>
            <w:tcW w:w="3402" w:type="dxa"/>
            <w:vAlign w:val="center"/>
          </w:tcPr>
          <w:p w14:paraId="12DA53F6">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Thành lập quỹ đầu tư mạo hiểm và quỹ hỗ trợ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từ ngân sách và xã hội hóa.</w:t>
            </w:r>
          </w:p>
        </w:tc>
        <w:tc>
          <w:tcPr>
            <w:tcW w:w="3760" w:type="dxa"/>
            <w:vAlign w:val="center"/>
          </w:tcPr>
          <w:p w14:paraId="5CD3C09C">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Cung cấp nguồn vốn mồi và vốn rủi ro cho các dự án tiềm năng nhưng chưa đủ điều kiện vay ngân hàng.</w:t>
            </w:r>
          </w:p>
        </w:tc>
      </w:tr>
      <w:tr w14:paraId="2BEC5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4F20C2AD">
            <w:pPr>
              <w:spacing w:line="360" w:lineRule="auto"/>
              <w:jc w:val="left"/>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Hạ tầng chuyên biệt</w:t>
            </w:r>
          </w:p>
        </w:tc>
        <w:tc>
          <w:tcPr>
            <w:tcW w:w="3402" w:type="dxa"/>
            <w:vAlign w:val="center"/>
          </w:tcPr>
          <w:p w14:paraId="36D93A8B">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Xây dựng Không gian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Đà Nẵng và các phòng Lab AI chuyên sâu.</w:t>
            </w:r>
          </w:p>
        </w:tc>
        <w:tc>
          <w:tcPr>
            <w:tcW w:w="3760" w:type="dxa"/>
            <w:vAlign w:val="center"/>
          </w:tcPr>
          <w:p w14:paraId="46A7BC37">
            <w:pPr>
              <w:spacing w:line="360" w:lineRule="auto"/>
              <w:jc w:val="left"/>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Tạo môi trường cộng tác và chia sẻ tài nguyên cho cộng đồng startup.</w:t>
            </w:r>
          </w:p>
        </w:tc>
      </w:tr>
    </w:tbl>
    <w:p w14:paraId="25934E6A">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Mô hình quản trị của Đà Nẵng thông qua Hội đồng Điều phối mạng lưới khởi nghiệp cũng là một điểm sáng. Hội đồng này không chỉ dừng lại ở vai trò quản lý nhà nước mà còn đóng vai trò kết nối, định hướng và huy động các nguồn lực từ các chuyên gia, nhà đầu tư thiên thần. Đối với Ninh Bình, việc học tập cơ chế này là cần thiết để hình thành một bộ máy vận hành linh hoạt cho Khu kinh tế tự do đang được quy hoạch.</w:t>
      </w:r>
    </w:p>
    <w:p w14:paraId="1F33F221">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Mô hình vườn ươm và trung tâm tài chính tại Thành phố Hồ Chí Minh</w:t>
      </w:r>
    </w:p>
    <w:p w14:paraId="26DCA99E">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Thành phố Hồ Chí Minh (TP.HCM) lại khẳng định vị thế của mình thông qua hệ thống các vườn ươm doanh nghiệp công nghệ cao (SHTP-IC) và các chương trình đào tạo khởi nghiệp bài bản như iStartX. SHTP-IC đã thành công trong việc hỗ trợ hơn 130 dự án công nghệ cao, tập trung vào các lĩnh vực như vi mạch, IoT, cơ khí chính xác và công nghệ sinh học. Điều này mang lại một bài học quý giá cho Ninh Bình: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cần được cụ thể hóa bằng những sản phẩm có giá trị gia tăng cao và khả năng thương mại hóa mạnh mẽ.</w:t>
      </w:r>
    </w:p>
    <w:p w14:paraId="7A63CCC4">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Ngoài ra, TP.HCM còn chú trọng vào khía cạnh tài chính của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 xml:space="preserve"> bằng việc thành lập quỹ đầu tư tài sản số lên tới 1 tỷ USD. Việc phát triển các trung tâm tài chính quốc tế kết hợp với sandbox tài chính giúp TP.HCM thu hút các tổ chức tài chính toàn cầu, tạo ra một nguồn lực vốn dồi dào cho các startup. Đây là một gợi ý quan trọng để Ninh Bình cân nhắc khi xây dựng các chính sách cho Khu kinh tế tự do, nhằm thu hút dòng vốn đầu tư gián tiếp nước ngoài (FII) vào các dự án </w:t>
      </w:r>
      <w:r>
        <w:rPr>
          <w:color w:val="000000" w:themeColor="text1"/>
          <w:sz w:val="26"/>
          <w:szCs w:val="26"/>
          <w:lang w:val="en-GB"/>
          <w14:textFill>
            <w14:solidFill>
              <w14:schemeClr w14:val="tx1"/>
            </w14:solidFill>
          </w14:textFill>
        </w:rPr>
        <w:t>ĐMST</w:t>
      </w:r>
      <w:r>
        <w:rPr>
          <w:color w:val="000000" w:themeColor="text1"/>
          <w:sz w:val="26"/>
          <w:szCs w:val="26"/>
          <w14:textFill>
            <w14:solidFill>
              <w14:schemeClr w14:val="tx1"/>
            </w14:solidFill>
          </w14:textFill>
        </w:rPr>
        <w:t>.</w:t>
      </w:r>
    </w:p>
    <w:p w14:paraId="61B36826">
      <w:pPr>
        <w:widowControl w:val="0"/>
        <w:spacing w:before="120" w:line="360" w:lineRule="auto"/>
        <w:ind w:firstLine="567"/>
        <w:rPr>
          <w:b/>
          <w:bCs/>
          <w:color w:val="000000" w:themeColor="text1"/>
          <w:sz w:val="26"/>
          <w:szCs w:val="26"/>
          <w14:textFill>
            <w14:solidFill>
              <w14:schemeClr w14:val="tx1"/>
            </w14:solidFill>
          </w14:textFill>
        </w:rPr>
      </w:pPr>
      <w:bookmarkStart w:id="149" w:name="_8smsiuc4b6f4" w:colFirst="0" w:colLast="0"/>
      <w:bookmarkEnd w:id="149"/>
      <w:r>
        <w:rPr>
          <w:b/>
          <w:bCs/>
          <w:color w:val="000000" w:themeColor="text1"/>
          <w:sz w:val="26"/>
          <w:szCs w:val="26"/>
          <w14:textFill>
            <w14:solidFill>
              <w14:schemeClr w14:val="tx1"/>
            </w14:solidFill>
          </w14:textFill>
        </w:rPr>
        <w:t>2. Kinh nghiệm quốc tế</w:t>
      </w:r>
    </w:p>
    <w:p w14:paraId="3AAF57B1">
      <w:pPr>
        <w:spacing w:before="120" w:line="259" w:lineRule="auto"/>
        <w:ind w:firstLine="567"/>
        <w:rPr>
          <w:i/>
          <w:iCs/>
          <w:color w:val="000000" w:themeColor="text1"/>
          <w:sz w:val="26"/>
          <w:szCs w:val="26"/>
          <w14:textFill>
            <w14:solidFill>
              <w14:schemeClr w14:val="tx1"/>
            </w14:solidFill>
          </w14:textFill>
        </w:rPr>
      </w:pPr>
      <w:bookmarkStart w:id="150" w:name="_exe0spyaqxbs" w:colFirst="0" w:colLast="0"/>
      <w:bookmarkEnd w:id="150"/>
      <w:r>
        <w:rPr>
          <w:b/>
          <w:bCs/>
          <w:i/>
          <w:iCs/>
          <w:color w:val="000000" w:themeColor="text1"/>
          <w:sz w:val="26"/>
          <w:szCs w:val="26"/>
          <w14:textFill>
            <w14:solidFill>
              <w14:schemeClr w14:val="tx1"/>
            </w14:solidFill>
          </w14:textFill>
        </w:rPr>
        <w:t>a. Mô hình Brainport Eindhoven: Triết lý Triple Helix và sự chuyển dịch sang Multiple Helix</w:t>
      </w:r>
    </w:p>
    <w:p w14:paraId="73C3EBA0">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Hệ sinh thái Brainport Eindhoven tại vùng North Brabant, Hà Lan, được coi là một trong những trung tâm công nghệ tiên tiến nhất châu Âu, nơi sản sinh ra 2% tổng số bằng sáng chế toàn cầu và đóng góp tới 36% tổng kim ngạch xuất khẩu công nghệ cao của Hà Lan. Sự thành công của vùng này không phải là kết quả của các nỗ lực đơn lẻ mà là sự kết tinh của mô hình “Triple Helix” (Ba vòng xoắn) – sự tương tác mật thiết giữa Chính phủ, Doanh nghiệp và các Viện nghiên cứu/Trường đại học.</w:t>
      </w:r>
    </w:p>
    <w:p w14:paraId="3E336085">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 Cơ chế điều phối của cơ quan phát triển Brainport</w:t>
      </w:r>
    </w:p>
    <w:p w14:paraId="540AB0D9">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Tại trung tâm của hệ sinh thái này là Brainport Development, một cơ quan phát triển kinh tế đóng vai trò điều phối, thúc đẩy quá trình ra quyết định dựa trên sự đồng thuận của nhiều bên liên quan. Brainport Development không chỉ thực hiện các chiến lược kinh tế khu vực thông qua tham vấn rộng rãi mà còn đóng vai trò là “người kết nối”, giúp các doanh nghiệp nhỏ và vừa (SME) tiếp cận được với nguồn lực của các tập đoàn lớn như ASML, Philips, hay NXP.</w:t>
      </w:r>
    </w:p>
    <w:p w14:paraId="392F4934">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Mô hình này nhấn mạnh vào việc chia sẻ tri thức và sử dụng chung các cơ sở hạ tầng nghiên cứu như các phòng thí nghiệm hiện trường và trung tâm đổi mới. Điều này tạo ra một nền tảng mở, nơi các ý tưởng đột phá có thể nhanh chóng được hiện thực hóa thành các sản phẩm công nghệ Machine, hệ thống phức hợp và các giải pháp cho các thách thức xã hội.</w:t>
      </w:r>
    </w:p>
    <w:p w14:paraId="66181798">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Các chỉ số tăng trưởng và hạ tầng công nghệ tại Brainport Eindhoven</w:t>
      </w:r>
    </w:p>
    <w:tbl>
      <w:tblPr>
        <w:tblStyle w:val="50"/>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8"/>
        <w:gridCol w:w="3969"/>
      </w:tblGrid>
      <w:tr w14:paraId="403D5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98" w:type="dxa"/>
            <w:vAlign w:val="center"/>
          </w:tcPr>
          <w:p w14:paraId="454E1BE7">
            <w:pPr>
              <w:spacing w:line="360" w:lineRule="auto"/>
              <w:jc w:val="center"/>
              <w:rPr>
                <w:i/>
                <w:i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Chỉ số kinh tế - kỹ thuật</w:t>
            </w:r>
          </w:p>
        </w:tc>
        <w:tc>
          <w:tcPr>
            <w:tcW w:w="3969" w:type="dxa"/>
            <w:vAlign w:val="center"/>
          </w:tcPr>
          <w:p w14:paraId="60914628">
            <w:pPr>
              <w:spacing w:line="360" w:lineRule="auto"/>
              <w:jc w:val="center"/>
              <w:rPr>
                <w:i/>
                <w:i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Giá trị thống kê</w:t>
            </w:r>
          </w:p>
        </w:tc>
      </w:tr>
      <w:tr w14:paraId="1EA0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98" w:type="dxa"/>
            <w:vAlign w:val="center"/>
          </w:tcPr>
          <w:p w14:paraId="0BAD0613">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Số lượng công ty công nghệ và IT</w:t>
            </w:r>
          </w:p>
        </w:tc>
        <w:tc>
          <w:tcPr>
            <w:tcW w:w="3969" w:type="dxa"/>
            <w:vAlign w:val="center"/>
          </w:tcPr>
          <w:p w14:paraId="07CEABC5">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5.000+</w:t>
            </w:r>
          </w:p>
        </w:tc>
      </w:tr>
      <w:tr w14:paraId="35337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98" w:type="dxa"/>
            <w:vAlign w:val="center"/>
          </w:tcPr>
          <w:p w14:paraId="0A7AD75C">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Chuyên gia IT và công nghệ đang làm việc</w:t>
            </w:r>
          </w:p>
        </w:tc>
        <w:tc>
          <w:tcPr>
            <w:tcW w:w="3969" w:type="dxa"/>
            <w:vAlign w:val="center"/>
          </w:tcPr>
          <w:p w14:paraId="25A48FF5">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72.868 người</w:t>
            </w:r>
          </w:p>
        </w:tc>
      </w:tr>
      <w:tr w14:paraId="55F8A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98" w:type="dxa"/>
            <w:vAlign w:val="center"/>
          </w:tcPr>
          <w:p w14:paraId="11A6C60D">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Tỷ lệ dân số nói tiếng Anh</w:t>
            </w:r>
          </w:p>
        </w:tc>
        <w:tc>
          <w:tcPr>
            <w:tcW w:w="3969" w:type="dxa"/>
            <w:vAlign w:val="center"/>
          </w:tcPr>
          <w:p w14:paraId="4608AD99">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90%</w:t>
            </w:r>
          </w:p>
        </w:tc>
      </w:tr>
      <w:tr w14:paraId="6FD30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98" w:type="dxa"/>
            <w:vAlign w:val="center"/>
          </w:tcPr>
          <w:p w14:paraId="4045C8DA">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Số lượng quốc tịch làm việc tại vùng</w:t>
            </w:r>
          </w:p>
        </w:tc>
        <w:tc>
          <w:tcPr>
            <w:tcW w:w="3969" w:type="dxa"/>
            <w:vAlign w:val="center"/>
          </w:tcPr>
          <w:p w14:paraId="50372D55">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150+</w:t>
            </w:r>
          </w:p>
        </w:tc>
      </w:tr>
      <w:tr w14:paraId="68A4E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98" w:type="dxa"/>
            <w:vAlign w:val="center"/>
          </w:tcPr>
          <w:p w14:paraId="0D373582">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Chi phí R&amp;D tư nhân hàng năm</w:t>
            </w:r>
          </w:p>
        </w:tc>
        <w:tc>
          <w:tcPr>
            <w:tcW w:w="3969" w:type="dxa"/>
            <w:vAlign w:val="center"/>
          </w:tcPr>
          <w:p w14:paraId="1A0C65AA">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3 tỷ EUR</w:t>
            </w:r>
          </w:p>
        </w:tc>
      </w:tr>
      <w:tr w14:paraId="1DBC3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98" w:type="dxa"/>
            <w:vAlign w:val="center"/>
          </w:tcPr>
          <w:p w14:paraId="1A80B7DB">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Tỷ trọng công nghiệp chế tạo trong giá trị gia tăng quốc gia</w:t>
            </w:r>
          </w:p>
        </w:tc>
        <w:tc>
          <w:tcPr>
            <w:tcW w:w="3969" w:type="dxa"/>
            <w:vAlign w:val="center"/>
          </w:tcPr>
          <w:p w14:paraId="571A0EF2">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11,3%</w:t>
            </w:r>
          </w:p>
        </w:tc>
      </w:tr>
    </w:tbl>
    <w:p w14:paraId="57B8892E">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 Chiến lược thu hút tài năng và quản trị nguồn nhân lực</w:t>
      </w:r>
    </w:p>
    <w:p w14:paraId="5D739C20">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Một trong những bài học đắt giá nhất từ Brainport Eindhoven là khả năng dự báo và đáp ứng nhu cầu nhân lực. Đến năm 2032, vùng này dự kiến sẽ có khoảng 71.200 vị trí việc làm mới trong lĩnh vực công nghệ cao. Để đối phó với tình trạng khan hiếm nhân tài, Brainport đã triển khai Chương trình Thu hút Tài năng với ba trụ cột chính: quảng bá thương hiệu vùng trên phạm vi toàn cầu, hỗ trợ các doanh nghiệp SME tuyển dụng chuyên gia quốc tế thông qua các công cụ tự chẩn đoán năng lực, và tăng cường sự tham gia của người sử dụng lao động vào khung hợp tác khu vực.</w:t>
      </w:r>
    </w:p>
    <w:p w14:paraId="37395F7A">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Hơn thế nữa, Brainport đang chuyển dịch mạnh mẽ từ mô hình Triple Helix truyền thống sang “Multiple Helix”, nơi các tổ chức xã hội dân sự, công đoàn và trực tiếp người dân được tham gia vào quá trình đổi mới. Triết lý này bắt nguồn từ thực trạng khoảng 13% cư dân trong vùng vẫn chưa được thụ hưởng đầy đủ thành quả từ sự tăng trưởng kinh tế cao. Do đó, chiến lược phát triển mới không chỉ tập trung vào “high-tech” mà còn phải đi kèm với “high-touch” – sự kết nối giữa tăng trưởng công nghệ với gắn kết xã hội, nhà ở giá rẻ, y tế và chất lượng cuộc sống.</w:t>
      </w:r>
    </w:p>
    <w:p w14:paraId="2F109BB8">
      <w:pPr>
        <w:spacing w:before="120" w:line="259" w:lineRule="auto"/>
        <w:ind w:firstLine="567"/>
        <w:rPr>
          <w:i/>
          <w:iCs/>
          <w:color w:val="000000" w:themeColor="text1"/>
          <w:sz w:val="26"/>
          <w:szCs w:val="26"/>
          <w14:textFill>
            <w14:solidFill>
              <w14:schemeClr w14:val="tx1"/>
            </w14:solidFill>
          </w14:textFill>
        </w:rPr>
      </w:pPr>
      <w:bookmarkStart w:id="151" w:name="_6a3wipaepzb2" w:colFirst="0" w:colLast="0"/>
      <w:bookmarkEnd w:id="151"/>
      <w:r>
        <w:rPr>
          <w:b/>
          <w:bCs/>
          <w:i/>
          <w:iCs/>
          <w:color w:val="000000" w:themeColor="text1"/>
          <w:sz w:val="26"/>
          <w:szCs w:val="26"/>
          <w14:textFill>
            <w14:solidFill>
              <w14:schemeClr w14:val="tx1"/>
            </w14:solidFill>
          </w14:textFill>
        </w:rPr>
        <w:t>b. Mô hình Hsinchu Science Park: Vai trò dẫn dắt của Chính phủ và Viện nghiên cứu công lập</w:t>
      </w:r>
    </w:p>
    <w:p w14:paraId="2B32B7DD">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Công viên Khoa học Tân Trúc (Hsinchu Science Park - HSP) của Đài Loan là minh chứng cho việc một nền kinh tế có xuất phát điểm thâm dụng lao động có thể chuyển mình thành cường quốc công nghệ thông qua các can thiệp chính sách có mục tiêu. Được thành lập vào năm 1980 dựa trên mô hình Thung lũng Silicon, HSP hiện là trung tâm của ngành công nghiệp bán dẫn toàn cầu với giá trị sản lượng hàng năm vượt quá 1 triệu tỷ NT$.</w:t>
      </w:r>
    </w:p>
    <w:p w14:paraId="53C460D7">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Viện ITRI: Cầu nối chuyển giao công nghệ và ươm tạo doanh nghiệp</w:t>
      </w:r>
    </w:p>
    <w:p w14:paraId="2FC403DB">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Thành tố then chốt trong sự thành công của Đài Loan là Viện Nghiên cứu Công nghệ Công nghiệp (ITRI), một tổ chức nghiên cứu phi lợi nhuận được thành lập từ năm 1973. ITRI đóng vai trò là nơi tiếp nhận công nghệ tiên tiến từ thế giới (như công nghệ 7-micron CMOS từ RCA vào thập niên 70), sau đó thực hiện các nghiên cứu ứng dụng để phát triển quy trình sản xuất và thiết bị thực tế cho doanh nghiệp nội địa.</w:t>
      </w:r>
    </w:p>
    <w:p w14:paraId="0DD4A3AE">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ITRI không chỉ làm R&amp;D mà còn là vườn ươm doanh nghiệp vĩ đại nhất của Đài Loan. Công ty TSMC, “gã khổng lồ” bán dẫn toàn cầu, chính là một doanh nghiệp spin-off (tách ra) từ ITRI vào năm 1987. Cơ chế này cho phép các ý tưởng nghiên cứu được thương mại hóa một cách hiệu quả nhất, đồng thời tạo ra một lực lượng lãnh đạo doanh nghiệp am tường về công nghệ, với hơn 60 CEO và 18.000 chuyên gia đã từng làm việc tại ITRI.</w:t>
      </w:r>
    </w:p>
    <w:p w14:paraId="319809C0">
      <w:pPr>
        <w:spacing w:after="280" w:line="360" w:lineRule="auto"/>
        <w:ind w:firstLine="567"/>
        <w:jc w:val="center"/>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Cấu trúc hạ tầng và lực lượng lao động tại Hsinchu Science Park</w:t>
      </w:r>
    </w:p>
    <w:tbl>
      <w:tblPr>
        <w:tblStyle w:val="51"/>
        <w:tblW w:w="90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39"/>
        <w:gridCol w:w="3686"/>
        <w:gridCol w:w="1830"/>
      </w:tblGrid>
      <w:tr w14:paraId="7DA3A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9" w:type="dxa"/>
            <w:vAlign w:val="center"/>
          </w:tcPr>
          <w:p w14:paraId="30BAE5CA">
            <w:pPr>
              <w:spacing w:line="360" w:lineRule="auto"/>
              <w:jc w:val="center"/>
              <w:rPr>
                <w:i/>
                <w:i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Thành phần hệ sinh thái</w:t>
            </w:r>
          </w:p>
        </w:tc>
        <w:tc>
          <w:tcPr>
            <w:tcW w:w="3686" w:type="dxa"/>
            <w:vAlign w:val="center"/>
          </w:tcPr>
          <w:p w14:paraId="0D0E4476">
            <w:pPr>
              <w:spacing w:line="360" w:lineRule="auto"/>
              <w:jc w:val="center"/>
              <w:rPr>
                <w:i/>
                <w:i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Vai trò và đặc điểm</w:t>
            </w:r>
          </w:p>
        </w:tc>
        <w:tc>
          <w:tcPr>
            <w:tcW w:w="1830" w:type="dxa"/>
            <w:vAlign w:val="center"/>
          </w:tcPr>
          <w:p w14:paraId="776520AE">
            <w:pPr>
              <w:spacing w:line="360" w:lineRule="auto"/>
              <w:jc w:val="center"/>
              <w:rPr>
                <w:i/>
                <w:i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Tham chiếu</w:t>
            </w:r>
          </w:p>
        </w:tc>
      </w:tr>
      <w:tr w14:paraId="1F90B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9" w:type="dxa"/>
            <w:vAlign w:val="center"/>
          </w:tcPr>
          <w:p w14:paraId="0B4F24E2">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Số lượng công ty</w:t>
            </w:r>
          </w:p>
        </w:tc>
        <w:tc>
          <w:tcPr>
            <w:tcW w:w="3686" w:type="dxa"/>
            <w:vAlign w:val="center"/>
          </w:tcPr>
          <w:p w14:paraId="7646A75F">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600+</w:t>
            </w:r>
          </w:p>
        </w:tc>
        <w:tc>
          <w:tcPr>
            <w:tcW w:w="1830" w:type="dxa"/>
            <w:vAlign w:val="center"/>
          </w:tcPr>
          <w:p w14:paraId="0F8FED56">
            <w:pPr>
              <w:spacing w:line="360" w:lineRule="auto"/>
              <w:jc w:val="left"/>
              <w:rPr>
                <w:i/>
                <w:iCs/>
                <w:color w:val="000000" w:themeColor="text1"/>
                <w:sz w:val="26"/>
                <w:szCs w:val="26"/>
                <w14:textFill>
                  <w14:solidFill>
                    <w14:schemeClr w14:val="tx1"/>
                  </w14:solidFill>
                </w14:textFill>
              </w:rPr>
            </w:pPr>
          </w:p>
        </w:tc>
      </w:tr>
      <w:tr w14:paraId="1F177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9" w:type="dxa"/>
            <w:vAlign w:val="center"/>
          </w:tcPr>
          <w:p w14:paraId="0F0D9C5C">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Tổng số nhân viên</w:t>
            </w:r>
          </w:p>
        </w:tc>
        <w:tc>
          <w:tcPr>
            <w:tcW w:w="3686" w:type="dxa"/>
            <w:vAlign w:val="center"/>
          </w:tcPr>
          <w:p w14:paraId="18343962">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160.000+</w:t>
            </w:r>
          </w:p>
        </w:tc>
        <w:tc>
          <w:tcPr>
            <w:tcW w:w="1830" w:type="dxa"/>
            <w:vAlign w:val="center"/>
          </w:tcPr>
          <w:p w14:paraId="268A34C7">
            <w:pPr>
              <w:spacing w:line="360" w:lineRule="auto"/>
              <w:jc w:val="left"/>
              <w:rPr>
                <w:i/>
                <w:iCs/>
                <w:color w:val="000000" w:themeColor="text1"/>
                <w:sz w:val="26"/>
                <w:szCs w:val="26"/>
                <w14:textFill>
                  <w14:solidFill>
                    <w14:schemeClr w14:val="tx1"/>
                  </w14:solidFill>
                </w14:textFill>
              </w:rPr>
            </w:pPr>
          </w:p>
        </w:tc>
      </w:tr>
      <w:tr w14:paraId="37790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9" w:type="dxa"/>
            <w:vAlign w:val="center"/>
          </w:tcPr>
          <w:p w14:paraId="624CA4B3">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Cơ sở giáo dục đại học</w:t>
            </w:r>
          </w:p>
        </w:tc>
        <w:tc>
          <w:tcPr>
            <w:tcW w:w="3686" w:type="dxa"/>
            <w:vAlign w:val="center"/>
          </w:tcPr>
          <w:p w14:paraId="315751A7">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Đại học Quốc gia Dương Minh Giao Thông &amp; Thanh Hoa</w:t>
            </w:r>
          </w:p>
        </w:tc>
        <w:tc>
          <w:tcPr>
            <w:tcW w:w="1830" w:type="dxa"/>
            <w:vAlign w:val="center"/>
          </w:tcPr>
          <w:p w14:paraId="7DE43959">
            <w:pPr>
              <w:spacing w:line="360" w:lineRule="auto"/>
              <w:jc w:val="left"/>
              <w:rPr>
                <w:i/>
                <w:iCs/>
                <w:color w:val="000000" w:themeColor="text1"/>
                <w:sz w:val="26"/>
                <w:szCs w:val="26"/>
                <w14:textFill>
                  <w14:solidFill>
                    <w14:schemeClr w14:val="tx1"/>
                  </w14:solidFill>
                </w14:textFill>
              </w:rPr>
            </w:pPr>
          </w:p>
        </w:tc>
      </w:tr>
      <w:tr w14:paraId="32D73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9" w:type="dxa"/>
            <w:vAlign w:val="center"/>
          </w:tcPr>
          <w:p w14:paraId="394F1D6E">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Mô hình quản trị</w:t>
            </w:r>
          </w:p>
        </w:tc>
        <w:tc>
          <w:tcPr>
            <w:tcW w:w="3686" w:type="dxa"/>
            <w:vAlign w:val="center"/>
          </w:tcPr>
          <w:p w14:paraId="2B28E878">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Di sản và Đổi mới (Heritage and Innovation)</w:t>
            </w:r>
          </w:p>
        </w:tc>
        <w:tc>
          <w:tcPr>
            <w:tcW w:w="1830" w:type="dxa"/>
            <w:vAlign w:val="center"/>
          </w:tcPr>
          <w:p w14:paraId="5B6AFF76">
            <w:pPr>
              <w:spacing w:line="360" w:lineRule="auto"/>
              <w:jc w:val="left"/>
              <w:rPr>
                <w:i/>
                <w:iCs/>
                <w:color w:val="000000" w:themeColor="text1"/>
                <w:sz w:val="26"/>
                <w:szCs w:val="26"/>
                <w14:textFill>
                  <w14:solidFill>
                    <w14:schemeClr w14:val="tx1"/>
                  </w14:solidFill>
                </w14:textFill>
              </w:rPr>
            </w:pPr>
          </w:p>
        </w:tc>
      </w:tr>
      <w:tr w14:paraId="39CD2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9" w:type="dxa"/>
            <w:vAlign w:val="center"/>
          </w:tcPr>
          <w:p w14:paraId="047527C4">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Tác động hành vi</w:t>
            </w:r>
          </w:p>
        </w:tc>
        <w:tc>
          <w:tcPr>
            <w:tcW w:w="3686" w:type="dxa"/>
            <w:vAlign w:val="center"/>
          </w:tcPr>
          <w:p w14:paraId="1D8335AA">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Ưu tiên tuyển dụng lao động trình độ Tiến sĩ (PhD)</w:t>
            </w:r>
          </w:p>
        </w:tc>
        <w:tc>
          <w:tcPr>
            <w:tcW w:w="1830" w:type="dxa"/>
            <w:vAlign w:val="center"/>
          </w:tcPr>
          <w:p w14:paraId="4DAE7BB8">
            <w:pPr>
              <w:spacing w:line="360" w:lineRule="auto"/>
              <w:jc w:val="left"/>
              <w:rPr>
                <w:i/>
                <w:iCs/>
                <w:color w:val="000000" w:themeColor="text1"/>
                <w:sz w:val="26"/>
                <w:szCs w:val="26"/>
                <w14:textFill>
                  <w14:solidFill>
                    <w14:schemeClr w14:val="tx1"/>
                  </w14:solidFill>
                </w14:textFill>
              </w:rPr>
            </w:pPr>
          </w:p>
        </w:tc>
      </w:tr>
    </w:tbl>
    <w:p w14:paraId="0F71DA4E">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Tác động của chính sách bổ sung (Additionality)</w:t>
      </w:r>
    </w:p>
    <w:p w14:paraId="1DD0A746">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Nghiên cứu về HSP chỉ ra rằng sự hỗ trợ của Chính phủ thông qua các công viên khoa học mang lại ba loại tác động bổ sung quan trọng: bổ sung đầu vào (tăng đầu tư R&amp;D), bổ sung đầu ra (tăng số lượng bằng sáng chế) và đặc biệt là bổ sung hành vi. Các doanh nghiệp trong công viên khoa học có xu hướng thay đổi chiến lược R&amp;D, tăng cường khả năng hấp thụ tri thức thông qua việc thuê mướn nhân sự trình độ cao và thiết lập các liên kết bền chặt với các trường đại học lân cận. Đây là một gợi ý quan trọng cho Ninh Bình: thay vì chỉ hỗ trợ tài chính trực tiếp, chính sách cần tập trung vào việc thay đổi tư duy và cách thức vận hành của doanh nghiệp.</w:t>
      </w:r>
    </w:p>
    <w:p w14:paraId="68ADE019">
      <w:pPr>
        <w:spacing w:before="120" w:line="259" w:lineRule="auto"/>
        <w:ind w:firstLine="567"/>
        <w:rPr>
          <w:i/>
          <w:iCs/>
          <w:color w:val="000000" w:themeColor="text1"/>
          <w:sz w:val="26"/>
          <w:szCs w:val="26"/>
          <w14:textFill>
            <w14:solidFill>
              <w14:schemeClr w14:val="tx1"/>
            </w14:solidFill>
          </w14:textFill>
        </w:rPr>
      </w:pPr>
      <w:bookmarkStart w:id="152" w:name="_ih7bv5vept4y" w:colFirst="0" w:colLast="0"/>
      <w:bookmarkEnd w:id="152"/>
      <w:r>
        <w:rPr>
          <w:b/>
          <w:bCs/>
          <w:i/>
          <w:iCs/>
          <w:color w:val="000000" w:themeColor="text1"/>
          <w:sz w:val="26"/>
          <w:szCs w:val="26"/>
          <w14:textFill>
            <w14:solidFill>
              <w14:schemeClr w14:val="tx1"/>
            </w14:solidFill>
          </w14:textFill>
        </w:rPr>
        <w:t>c. Pangyo Techno Valley: Trung tâm Công nghệ sâu và triết lý “Humanomics”</w:t>
      </w:r>
    </w:p>
    <w:p w14:paraId="717B1DB5">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Pangyo Techno Valley (PTV) tại tỉnh Gyeonggi, Hàn Quốc, được mệnh danh là Thung lũng Silicon của châu Á, tập trung vào sự hội tụ của IT, BT (Công nghệ sinh học), CT (Công nghệ văn hóa) và NT (Công nghệ nano).</w:t>
      </w:r>
    </w:p>
    <w:p w14:paraId="1B2FA7E9">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 Vai trò của cơ quan thúc đẩy GBSA</w:t>
      </w:r>
    </w:p>
    <w:p w14:paraId="0E495291">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Cơ quan Thúc đẩy Kinh doanh và Khoa học Gyeonggi (GBSA) đóng vai trò điều hành, hỗ trợ các doanh nghiệp SME và startup thông qua một loạt dịch vụ từ cố vấn, phân tích thị trường đến hỗ trợ vốn chiến lược. PTV được phát triển theo ba giai đoạn chiến lược: giai đoạn 1 tập trung vào hạ tầng nghiên cứu cơ bản, giai đoạn 2 tập trung vào các công nghệ sâu (Deep Tech) như lái xe tự hành và AI, và giai đoạn 3 hướng tới hệ sinh thái bán dẫn hệ thống.</w:t>
      </w:r>
    </w:p>
    <w:p w14:paraId="2DF12BA4">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Sự thành công của Pangyo thể hiện qua các con số ấn tượng: doanh thu của các công ty tại đây đạt 145 tỷ USD vào năm 2023, đóng góp tới 22% tổng sản phẩm trên địa bàn (GRDP) của tỉnh Gyeonggi.</w:t>
      </w:r>
    </w:p>
    <w:p w14:paraId="1823F771">
      <w:pPr>
        <w:spacing w:after="280" w:line="360" w:lineRule="auto"/>
        <w:ind w:firstLine="567"/>
        <w:jc w:val="center"/>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Sự phát triển của các giai đoạn tại Pangyo Techno Valley</w:t>
      </w:r>
    </w:p>
    <w:tbl>
      <w:tblPr>
        <w:tblStyle w:val="52"/>
        <w:tblW w:w="90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86"/>
        <w:gridCol w:w="3531"/>
      </w:tblGrid>
      <w:tr w14:paraId="61B5E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Align w:val="center"/>
          </w:tcPr>
          <w:p w14:paraId="36D85AC1">
            <w:pPr>
              <w:spacing w:line="360" w:lineRule="auto"/>
              <w:jc w:val="center"/>
              <w:rPr>
                <w:i/>
                <w:i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Giai đoạn</w:t>
            </w:r>
          </w:p>
        </w:tc>
        <w:tc>
          <w:tcPr>
            <w:tcW w:w="3686" w:type="dxa"/>
            <w:vAlign w:val="center"/>
          </w:tcPr>
          <w:p w14:paraId="251E7A80">
            <w:pPr>
              <w:spacing w:line="360" w:lineRule="auto"/>
              <w:jc w:val="center"/>
              <w:rPr>
                <w:i/>
                <w:i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Trọng tâm công nghệ</w:t>
            </w:r>
          </w:p>
        </w:tc>
        <w:tc>
          <w:tcPr>
            <w:tcW w:w="3531" w:type="dxa"/>
            <w:vAlign w:val="center"/>
          </w:tcPr>
          <w:p w14:paraId="1D4E58EB">
            <w:pPr>
              <w:spacing w:line="360" w:lineRule="auto"/>
              <w:jc w:val="center"/>
              <w:rPr>
                <w:i/>
                <w:i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Đặc điểm hạ tầng</w:t>
            </w:r>
          </w:p>
        </w:tc>
      </w:tr>
      <w:tr w14:paraId="27C88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Align w:val="center"/>
          </w:tcPr>
          <w:p w14:paraId="1BBADA43">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Giai đoạn 1</w:t>
            </w:r>
          </w:p>
        </w:tc>
        <w:tc>
          <w:tcPr>
            <w:tcW w:w="3686" w:type="dxa"/>
            <w:vAlign w:val="center"/>
          </w:tcPr>
          <w:p w14:paraId="6A540372">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IT, BT, CT, NT</w:t>
            </w:r>
          </w:p>
        </w:tc>
        <w:tc>
          <w:tcPr>
            <w:tcW w:w="3531" w:type="dxa"/>
            <w:vAlign w:val="center"/>
          </w:tcPr>
          <w:p w14:paraId="341514B7">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Startup Campus, Trung tâm R&amp;D toàn cầu</w:t>
            </w:r>
          </w:p>
        </w:tc>
      </w:tr>
      <w:tr w14:paraId="5BB0E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Align w:val="center"/>
          </w:tcPr>
          <w:p w14:paraId="528947CE">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Giai đoạn 2</w:t>
            </w:r>
          </w:p>
        </w:tc>
        <w:tc>
          <w:tcPr>
            <w:tcW w:w="3686" w:type="dxa"/>
            <w:vAlign w:val="center"/>
          </w:tcPr>
          <w:p w14:paraId="77949A00">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Deep Tech (AI, Lái xe tự hành, UAM)</w:t>
            </w:r>
          </w:p>
        </w:tc>
        <w:tc>
          <w:tcPr>
            <w:tcW w:w="3531" w:type="dxa"/>
            <w:vAlign w:val="center"/>
          </w:tcPr>
          <w:p w14:paraId="1AE4EEFC">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Testbed cho xe tự hành và công nghệ sinh học</w:t>
            </w:r>
          </w:p>
        </w:tc>
      </w:tr>
      <w:tr w14:paraId="0F592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Align w:val="center"/>
          </w:tcPr>
          <w:p w14:paraId="2D5F5268">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Giai đoạn 3</w:t>
            </w:r>
          </w:p>
        </w:tc>
        <w:tc>
          <w:tcPr>
            <w:tcW w:w="3686" w:type="dxa"/>
            <w:vAlign w:val="center"/>
          </w:tcPr>
          <w:p w14:paraId="3CE91DE6">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Bán dẫn hệ thống (System Semiconductor)</w:t>
            </w:r>
          </w:p>
        </w:tc>
        <w:tc>
          <w:tcPr>
            <w:tcW w:w="3531" w:type="dxa"/>
            <w:vAlign w:val="center"/>
          </w:tcPr>
          <w:p w14:paraId="562CCA48">
            <w:pPr>
              <w:spacing w:line="360" w:lineRule="auto"/>
              <w:jc w:val="left"/>
              <w:rPr>
                <w:i/>
                <w:iCs/>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Khu công nghiệp hướng tới tương lai</w:t>
            </w:r>
          </w:p>
        </w:tc>
      </w:tr>
    </w:tbl>
    <w:p w14:paraId="6980A8AE">
      <w:pPr>
        <w:spacing w:before="120" w:line="360" w:lineRule="auto"/>
        <w:ind w:firstLine="567"/>
        <w:rPr>
          <w:i/>
          <w:iCs/>
          <w:color w:val="000000" w:themeColor="text1"/>
          <w:sz w:val="26"/>
          <w:szCs w:val="26"/>
          <w14:textFill>
            <w14:solidFill>
              <w14:schemeClr w14:val="tx1"/>
            </w14:solidFill>
          </w14:textFill>
        </w:rPr>
      </w:pPr>
      <w:r>
        <w:rPr>
          <w:i/>
          <w:iCs/>
          <w:color w:val="000000" w:themeColor="text1"/>
          <w:sz w:val="26"/>
          <w:szCs w:val="26"/>
          <w14:textFill>
            <w14:solidFill>
              <w14:schemeClr w14:val="tx1"/>
            </w14:solidFill>
          </w14:textFill>
        </w:rPr>
        <w:t>- Triết lý Humanomics và trách nhiệm xã hội</w:t>
      </w:r>
    </w:p>
    <w:p w14:paraId="07D40BFB">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Tỉnh Gyeonggi đã đưa ra khái niệm “Humanomics” – một nền kinh tế lấy con người làm trung tâm, nhằm giải quyết sự bất bình đẳng và phân cực xã hội do quá trình tăng trưởng nóng gây ra. Các startup tại Pangyo không chỉ cạnh tranh về công nghệ mà còn cùng nhau xây dựng Liên minh ESG (Môi trường, Xã hội và Quản trị) để thực hiện trách nhiệm xã hội và phát triển bền vững. Tỉnh cũng đi đầu trong việc thúc đẩy tầm nhìn RE100, hỗ trợ các doanh nghiệp giảm phát thải carbon trong sản xuất công nghiệp, đặc biệt là trong ngành bán dẫn.</w:t>
      </w:r>
    </w:p>
    <w:p w14:paraId="6CDC5DD2">
      <w:pPr>
        <w:spacing w:before="120" w:line="259" w:lineRule="auto"/>
        <w:ind w:firstLine="567"/>
        <w:rPr>
          <w:b/>
          <w:bCs/>
          <w:i/>
          <w:iCs/>
          <w:color w:val="000000" w:themeColor="text1"/>
          <w:sz w:val="26"/>
          <w:szCs w:val="26"/>
          <w14:textFill>
            <w14:solidFill>
              <w14:schemeClr w14:val="tx1"/>
            </w14:solidFill>
          </w14:textFill>
        </w:rPr>
      </w:pPr>
      <w:r>
        <w:rPr>
          <w:b/>
          <w:bCs/>
          <w:i/>
          <w:iCs/>
          <w:color w:val="000000" w:themeColor="text1"/>
          <w:sz w:val="26"/>
          <w:szCs w:val="26"/>
          <w:lang w:val="vi-VN"/>
          <w14:textFill>
            <w14:solidFill>
              <w14:schemeClr w14:val="tx1"/>
            </w14:solidFill>
          </w14:textFill>
        </w:rPr>
        <w:t>d</w:t>
      </w:r>
      <w:r>
        <w:rPr>
          <w:b/>
          <w:bCs/>
          <w:i/>
          <w:iCs/>
          <w:color w:val="000000" w:themeColor="text1"/>
          <w:sz w:val="26"/>
          <w:szCs w:val="26"/>
          <w14:textFill>
            <w14:solidFill>
              <w14:schemeClr w14:val="tx1"/>
            </w14:solidFill>
          </w14:textFill>
        </w:rPr>
        <w:t>. Kyoto (Nhật Bản)</w:t>
      </w:r>
      <w:r>
        <w:rPr>
          <w:b/>
          <w:bCs/>
          <w:i/>
          <w:iCs/>
          <w:color w:val="000000" w:themeColor="text1"/>
          <w:sz w:val="26"/>
          <w:szCs w:val="26"/>
          <w:lang w:val="vi-VN"/>
          <w14:textFill>
            <w14:solidFill>
              <w14:schemeClr w14:val="tx1"/>
            </w14:solidFill>
          </w14:textFill>
        </w:rPr>
        <w:t>:</w:t>
      </w:r>
      <w:r>
        <w:rPr>
          <w:b/>
          <w:bCs/>
          <w:i/>
          <w:iCs/>
          <w:color w:val="000000" w:themeColor="text1"/>
          <w:sz w:val="26"/>
          <w:szCs w:val="26"/>
          <w14:textFill>
            <w14:solidFill>
              <w14:schemeClr w14:val="tx1"/>
            </w14:solidFill>
          </w14:textFill>
        </w:rPr>
        <w:t xml:space="preserve"> Mô hình phát triển du lịch di sản gắn với bảo tồn văn hóa và đổi mới sáng tạo</w:t>
      </w:r>
    </w:p>
    <w:p w14:paraId="5D081F9F">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Kyoto là một trong những đô thị tiêu biểu của Nhật Bản và thế giới trong việc phát triển hệ sinh thái du lịch dựa trên nền tảng di sản văn hóa, lịch sử và cảnh quan truyền thống. Là cố đô với hệ thống di tích, đền chùa và không gian kiến trúc đặc trưng, Kyoto đã lựa chọn chiến lược phát triển khác biệt so với các đô thị hiện đại hóa nhanh, theo hướng ưu tiên bảo tồn giá trị di sản kết hợp khai thác du lịch chất lượng cao.</w:t>
      </w:r>
    </w:p>
    <w:p w14:paraId="1BB20AFA">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Điểm nổi bật của mô hình Kyoto là cách tiếp cận cân bằng giữa phát triển kinh tế du lịch và bảo tồn giá trị văn hóa – lịch sử. Chính quyền thành phố áp dụng các biện pháp quản lý chặt chẽ về quy hoạch không gian, kiểm soát mật độ du khách tại các khu di sản trọng điểm, đồng thời khuyến khích phát triển các sản phẩm du lịch trải nghiệm có chiều sâu thay vì du lịch đại trà. Bên cạnh đó, Kyoto đẩy mạnh ứng dụng công nghệ số trong quản lý du lịch, bao gồm hệ thống dữ liệu du khách, bản đồ số hóa di sản, và các nền tảng hỗ trợ trải nghiệm thông minh, góp phần nâng cao hiệu quả quản lý và chất lượng dịch vụ.</w:t>
      </w:r>
    </w:p>
    <w:p w14:paraId="185BE819">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Một đặc điểm quan trọng khác là sự gắn kết giữa du lịch, giáo dục và kinh tế sáng tạo. Kyoto là trung tâm của nhiều trường đại học, viện nghiên cứu và doanh nghiệp sáng tạo trong lĩnh vực văn hóa, thiết kế, thủ công mỹ nghệ và công nghệ nội dung số. Sự tương tác giữa các chủ thể này tạo nên một hệ sinh thái du lịch – văn hóa có tính lan tỏa cao, trong đó giá trị di sản không chỉ được bảo tồn mà còn được “tái tạo” thông qua các sản phẩm sáng tạo hiện đại.</w:t>
      </w:r>
    </w:p>
    <w:p w14:paraId="18E3C14E">
      <w:pPr>
        <w:spacing w:before="120" w:line="360" w:lineRule="auto"/>
        <w:ind w:firstLine="567"/>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Từ góc độ quản trị hệ sinh thái, Kyoto cho thấy vai trò quan trọng của chính quyền địa phương trong việc thiết lập các giới hạn phát triển hợp lý, đồng thời kiến tạo môi trường thuận lợi để các chủ thể tư nhân và cộng đồng cùng tham gia vào quá trình bảo tồn và khai thác giá trị di sản. Thay vì tập trung vào tăng trưởng số lượng khách du lịch, mô hình này ưu tiên chất lượng trải nghiệm và tính bền vững dài hạn của hệ sinh thái du lịch.</w:t>
      </w:r>
    </w:p>
    <w:p w14:paraId="747B85FB">
      <w:pPr>
        <w:spacing w:before="120" w:line="360" w:lineRule="auto"/>
        <w:ind w:firstLine="567"/>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Bài học kinh nghiệm cho Ninh Bình:</w:t>
      </w:r>
      <w:r>
        <w:rPr>
          <w:color w:val="000000" w:themeColor="text1"/>
          <w:sz w:val="26"/>
          <w:szCs w:val="26"/>
          <w14:textFill>
            <w14:solidFill>
              <w14:schemeClr w14:val="tx1"/>
            </w14:solidFill>
          </w14:textFill>
        </w:rPr>
        <w:t xml:space="preserve"> Mô hình Kyoto cung cấp nhiều gợi ý quan trọng cho việc phát triển du lịch – kinh tế di sản tại Ninh Bình. Thứ nhất, cần chuyển dịch từ tăng trưởng du lịch theo chiều rộng sang phát triển du lịch chất lượng cao dựa trên giá trị di sản đặc thù như Tràng An – Tam Cốc – Hoa Lư. Thứ hai, cần tăng cường ứng dụng công nghệ số trong quản lý du lịch, bao gồm hệ thống dữ liệu du khách, quản lý sức tải di sản và phát triển nền tảng du lịch thông minh. Thứ ba, cần thúc đẩy liên kết giữa du lịch với các ngành sáng tạo, giáo dục và văn hóa nhằm hình thành hệ sinh thái du lịch có giá trị gia tăng cao, thay vì chỉ dựa vào khai thác tài nguyên tự nhiên. Cuối cùng, vai trò của chính quyền địa phương cần chuyển mạnh sang định hướng, điều tiết và bảo tồn, đồng thời tạo điều kiện cho doanh nghiệp và cộng đồng tham gia đồng sáng tạo sản phẩm du lịch.</w:t>
      </w:r>
    </w:p>
    <w:p w14:paraId="41CFD450">
      <w:pPr>
        <w:spacing w:before="120" w:line="360" w:lineRule="auto"/>
        <w:ind w:firstLine="567"/>
        <w:rPr>
          <w:color w:val="000000" w:themeColor="text1"/>
          <w:sz w:val="26"/>
          <w:szCs w:val="26"/>
          <w14:textFill>
            <w14:solidFill>
              <w14:schemeClr w14:val="tx1"/>
            </w14:solidFill>
          </w14:textFill>
        </w:rPr>
      </w:pPr>
    </w:p>
    <w:p w14:paraId="5D10CAB7">
      <w:pPr>
        <w:rPr>
          <w:color w:val="000000" w:themeColor="text1"/>
          <w:sz w:val="26"/>
          <w:szCs w:val="26"/>
          <w:lang w:val="vi-VN"/>
          <w14:textFill>
            <w14:solidFill>
              <w14:schemeClr w14:val="tx1"/>
            </w14:solidFill>
          </w14:textFill>
        </w:rPr>
      </w:pPr>
    </w:p>
    <w:sectPr>
      <w:footerReference r:id="rId3" w:type="default"/>
      <w:footerReference r:id="rId4" w:type="even"/>
      <w:pgSz w:w="12240" w:h="15840"/>
      <w:pgMar w:top="1134" w:right="990" w:bottom="1134" w:left="1985"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3DED28E0-F60C-46CF-9E86-172D036F4CF0}"/>
  </w:font>
  <w:font w:name="Arial">
    <w:panose1 w:val="020B0604020202020204"/>
    <w:charset w:val="00"/>
    <w:family w:val="swiss"/>
    <w:pitch w:val="default"/>
    <w:sig w:usb0="E0002EFF" w:usb1="C000785B" w:usb2="00000009" w:usb3="00000000" w:csb0="400001FF" w:csb1="FFFF0000"/>
    <w:embedRegular r:id="rId2" w:fontKey="{2DD141C6-EDED-4135-A4D8-D7CDE03F54BC}"/>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DCF84469-D8C8-43B2-B33F-1B3127408091}"/>
  </w:font>
  <w:font w:name="Wingdings">
    <w:panose1 w:val="05000000000000000000"/>
    <w:charset w:val="02"/>
    <w:family w:val="auto"/>
    <w:pitch w:val="default"/>
    <w:sig w:usb0="00000000" w:usb1="00000000" w:usb2="00000000" w:usb3="00000000" w:csb0="80000000" w:csb1="00000000"/>
    <w:embedRegular r:id="rId4" w:fontKey="{B8740A1F-7C62-4477-AA0A-C7051BD743F5}"/>
  </w:font>
  <w:font w:name="Calibri">
    <w:panose1 w:val="020F0502020204030204"/>
    <w:charset w:val="00"/>
    <w:family w:val="swiss"/>
    <w:pitch w:val="default"/>
    <w:sig w:usb0="E4002EFF" w:usb1="C000247B" w:usb2="00000009" w:usb3="00000000" w:csb0="200001FF" w:csb1="00000000"/>
    <w:embedRegular r:id="rId5" w:fontKey="{FDA2ABE6-7081-478E-887E-E75C281ADD21}"/>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embedRegular r:id="rId6" w:fontKey="{33601676-0AC4-4D42-B432-AD2B89FDED43}"/>
  </w:font>
  <w:font w:name="Georgia">
    <w:panose1 w:val="02040502050405020303"/>
    <w:charset w:val="00"/>
    <w:family w:val="roman"/>
    <w:pitch w:val="default"/>
    <w:sig w:usb0="00000287" w:usb1="00000000" w:usb2="00000000" w:usb3="00000000" w:csb0="2000009F" w:csb1="00000000"/>
    <w:embedRegular r:id="rId7" w:fontKey="{414CE406-E148-450E-8278-726B80CF92F3}"/>
  </w:font>
  <w:font w:name="Cambria">
    <w:panose1 w:val="02040503050406030204"/>
    <w:charset w:val="00"/>
    <w:family w:val="roman"/>
    <w:pitch w:val="default"/>
    <w:sig w:usb0="E00006FF" w:usb1="420024FF" w:usb2="02000000" w:usb3="00000000" w:csb0="2000019F" w:csb1="00000000"/>
    <w:embedRegular r:id="rId8" w:fontKey="{5F82D2D6-34D3-43FB-B384-5B38E1F283B9}"/>
  </w:font>
  <w:font w:name="Symbol">
    <w:panose1 w:val="05050102010706020507"/>
    <w:charset w:val="02"/>
    <w:family w:val="decorative"/>
    <w:pitch w:val="default"/>
    <w:sig w:usb0="00000000" w:usb1="00000000" w:usb2="00000000" w:usb3="00000000" w:csb0="80000000" w:csb1="00000000"/>
    <w:embedRegular r:id="rId9" w:fontKey="{69950D6F-EE56-4E48-8E88-EF00C4E23E02}"/>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embedRegular r:id="rId10" w:fontKey="{04A2F0F6-B1F7-4968-9311-E34F2FB6CB11}"/>
  </w:font>
  <w:font w:name="Wingdings">
    <w:panose1 w:val="05000000000000000000"/>
    <w:charset w:val="00"/>
    <w:family w:val="auto"/>
    <w:pitch w:val="default"/>
    <w:sig w:usb0="00000000" w:usb1="00000000" w:usb2="00000000" w:usb3="00000000" w:csb0="80000000" w:csb1="00000000"/>
    <w:embedRegular r:id="rId11" w:fontKey="{07E11717-463F-48F7-A99D-84909496F9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3"/>
      </w:rPr>
      <w:id w:val="1616635973"/>
      <w:docPartObj>
        <w:docPartGallery w:val="autotext"/>
      </w:docPartObj>
    </w:sdtPr>
    <w:sdtEndPr>
      <w:rPr>
        <w:rStyle w:val="23"/>
      </w:rPr>
    </w:sdtEndPr>
    <w:sdtContent>
      <w:p w14:paraId="5199E0BE">
        <w:pPr>
          <w:pStyle w:val="17"/>
          <w:framePr w:wrap="auto" w:vAnchor="text" w:hAnchor="margin" w:xAlign="center" w:y="1"/>
          <w:rPr>
            <w:rStyle w:val="23"/>
          </w:rPr>
        </w:pPr>
        <w:r>
          <w:rPr>
            <w:rStyle w:val="23"/>
          </w:rPr>
          <w:fldChar w:fldCharType="begin"/>
        </w:r>
        <w:r>
          <w:rPr>
            <w:rStyle w:val="23"/>
          </w:rPr>
          <w:instrText xml:space="preserve"> PAGE </w:instrText>
        </w:r>
        <w:r>
          <w:rPr>
            <w:rStyle w:val="23"/>
          </w:rPr>
          <w:fldChar w:fldCharType="separate"/>
        </w:r>
        <w:r>
          <w:rPr>
            <w:rStyle w:val="23"/>
          </w:rPr>
          <w:t>2</w:t>
        </w:r>
        <w:r>
          <w:rPr>
            <w:rStyle w:val="23"/>
          </w:rPr>
          <w:fldChar w:fldCharType="end"/>
        </w:r>
      </w:p>
    </w:sdtContent>
  </w:sdt>
  <w:p w14:paraId="4511A954">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3"/>
      </w:rPr>
      <w:id w:val="-673186956"/>
      <w:docPartObj>
        <w:docPartGallery w:val="autotext"/>
      </w:docPartObj>
    </w:sdtPr>
    <w:sdtEndPr>
      <w:rPr>
        <w:rStyle w:val="23"/>
      </w:rPr>
    </w:sdtEndPr>
    <w:sdtContent>
      <w:p w14:paraId="0B2534FA">
        <w:pPr>
          <w:pStyle w:val="17"/>
          <w:framePr w:wrap="auto" w:vAnchor="text" w:hAnchor="margin" w:xAlign="center" w:y="1"/>
          <w:rPr>
            <w:rStyle w:val="23"/>
          </w:rPr>
        </w:pPr>
        <w:r>
          <w:rPr>
            <w:rStyle w:val="23"/>
          </w:rPr>
          <w:fldChar w:fldCharType="begin"/>
        </w:r>
        <w:r>
          <w:rPr>
            <w:rStyle w:val="23"/>
          </w:rPr>
          <w:instrText xml:space="preserve"> PAGE </w:instrText>
        </w:r>
        <w:r>
          <w:rPr>
            <w:rStyle w:val="23"/>
          </w:rPr>
          <w:fldChar w:fldCharType="separate"/>
        </w:r>
        <w:r>
          <w:rPr>
            <w:rStyle w:val="23"/>
          </w:rPr>
          <w:fldChar w:fldCharType="end"/>
        </w:r>
      </w:p>
    </w:sdtContent>
  </w:sdt>
  <w:p w14:paraId="1277708B">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BC0FF"/>
    <w:multiLevelType w:val="singleLevel"/>
    <w:tmpl w:val="886BC0FF"/>
    <w:lvl w:ilvl="0" w:tentative="0">
      <w:start w:val="1"/>
      <w:numFmt w:val="bullet"/>
      <w:lvlText w:val=""/>
      <w:lvlJc w:val="left"/>
      <w:pPr>
        <w:tabs>
          <w:tab w:val="left" w:pos="420"/>
        </w:tabs>
        <w:ind w:left="420" w:hanging="420"/>
      </w:pPr>
      <w:rPr>
        <w:rFonts w:hint="default" w:ascii="Wingdings" w:hAnsi="Wingdings"/>
      </w:rPr>
    </w:lvl>
  </w:abstractNum>
  <w:abstractNum w:abstractNumId="1">
    <w:nsid w:val="D448A668"/>
    <w:multiLevelType w:val="singleLevel"/>
    <w:tmpl w:val="D448A668"/>
    <w:lvl w:ilvl="0" w:tentative="0">
      <w:start w:val="3"/>
      <w:numFmt w:val="decimal"/>
      <w:suff w:val="space"/>
      <w:lvlText w:val="(%1)"/>
      <w:lvlJc w:val="left"/>
    </w:lvl>
  </w:abstractNum>
  <w:abstractNum w:abstractNumId="2">
    <w:nsid w:val="02891E26"/>
    <w:multiLevelType w:val="singleLevel"/>
    <w:tmpl w:val="02891E26"/>
    <w:lvl w:ilvl="0" w:tentative="0">
      <w:start w:val="1"/>
      <w:numFmt w:val="lowerLetter"/>
      <w:suff w:val="space"/>
      <w:lvlText w:val="%1)"/>
      <w:lvlJc w:val="left"/>
    </w:lvl>
  </w:abstractNum>
  <w:abstractNum w:abstractNumId="3">
    <w:nsid w:val="0E89473B"/>
    <w:multiLevelType w:val="multilevel"/>
    <w:tmpl w:val="0E89473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F474F72"/>
    <w:multiLevelType w:val="multilevel"/>
    <w:tmpl w:val="3F474F72"/>
    <w:lvl w:ilvl="0" w:tentative="0">
      <w:start w:val="1"/>
      <w:numFmt w:val="bullet"/>
      <w:lvlText w:val=""/>
      <w:lvlJc w:val="left"/>
      <w:pPr>
        <w:ind w:left="1211" w:hanging="360"/>
      </w:pPr>
      <w:rPr>
        <w:rFonts w:hint="default" w:ascii="Symbol" w:hAnsi="Symbol"/>
      </w:rPr>
    </w:lvl>
    <w:lvl w:ilvl="1" w:tentative="0">
      <w:start w:val="1"/>
      <w:numFmt w:val="bullet"/>
      <w:lvlText w:val="o"/>
      <w:lvlJc w:val="left"/>
      <w:pPr>
        <w:ind w:left="2782" w:hanging="360"/>
      </w:pPr>
      <w:rPr>
        <w:rFonts w:hint="default" w:ascii="Courier New" w:hAnsi="Courier New" w:cs="Courier New"/>
      </w:rPr>
    </w:lvl>
    <w:lvl w:ilvl="2" w:tentative="0">
      <w:start w:val="1"/>
      <w:numFmt w:val="bullet"/>
      <w:lvlText w:val=""/>
      <w:lvlJc w:val="left"/>
      <w:pPr>
        <w:ind w:left="3502" w:hanging="360"/>
      </w:pPr>
      <w:rPr>
        <w:rFonts w:hint="default" w:ascii="Wingdings" w:hAnsi="Wingdings"/>
      </w:rPr>
    </w:lvl>
    <w:lvl w:ilvl="3" w:tentative="0">
      <w:start w:val="1"/>
      <w:numFmt w:val="bullet"/>
      <w:lvlText w:val=""/>
      <w:lvlJc w:val="left"/>
      <w:pPr>
        <w:ind w:left="4222" w:hanging="360"/>
      </w:pPr>
      <w:rPr>
        <w:rFonts w:hint="default" w:ascii="Symbol" w:hAnsi="Symbol"/>
      </w:rPr>
    </w:lvl>
    <w:lvl w:ilvl="4" w:tentative="0">
      <w:start w:val="1"/>
      <w:numFmt w:val="bullet"/>
      <w:lvlText w:val="o"/>
      <w:lvlJc w:val="left"/>
      <w:pPr>
        <w:ind w:left="4942" w:hanging="360"/>
      </w:pPr>
      <w:rPr>
        <w:rFonts w:hint="default" w:ascii="Courier New" w:hAnsi="Courier New" w:cs="Courier New"/>
      </w:rPr>
    </w:lvl>
    <w:lvl w:ilvl="5" w:tentative="0">
      <w:start w:val="1"/>
      <w:numFmt w:val="bullet"/>
      <w:lvlText w:val=""/>
      <w:lvlJc w:val="left"/>
      <w:pPr>
        <w:ind w:left="5662" w:hanging="360"/>
      </w:pPr>
      <w:rPr>
        <w:rFonts w:hint="default" w:ascii="Wingdings" w:hAnsi="Wingdings"/>
      </w:rPr>
    </w:lvl>
    <w:lvl w:ilvl="6" w:tentative="0">
      <w:start w:val="1"/>
      <w:numFmt w:val="bullet"/>
      <w:lvlText w:val=""/>
      <w:lvlJc w:val="left"/>
      <w:pPr>
        <w:ind w:left="6382" w:hanging="360"/>
      </w:pPr>
      <w:rPr>
        <w:rFonts w:hint="default" w:ascii="Symbol" w:hAnsi="Symbol"/>
      </w:rPr>
    </w:lvl>
    <w:lvl w:ilvl="7" w:tentative="0">
      <w:start w:val="1"/>
      <w:numFmt w:val="bullet"/>
      <w:lvlText w:val="o"/>
      <w:lvlJc w:val="left"/>
      <w:pPr>
        <w:ind w:left="7102" w:hanging="360"/>
      </w:pPr>
      <w:rPr>
        <w:rFonts w:hint="default" w:ascii="Courier New" w:hAnsi="Courier New" w:cs="Courier New"/>
      </w:rPr>
    </w:lvl>
    <w:lvl w:ilvl="8" w:tentative="0">
      <w:start w:val="1"/>
      <w:numFmt w:val="bullet"/>
      <w:lvlText w:val=""/>
      <w:lvlJc w:val="left"/>
      <w:pPr>
        <w:ind w:left="7822" w:hanging="360"/>
      </w:pPr>
      <w:rPr>
        <w:rFonts w:hint="default" w:ascii="Wingdings" w:hAnsi="Wingdings"/>
      </w:rPr>
    </w:lvl>
  </w:abstractNum>
  <w:abstractNum w:abstractNumId="5">
    <w:nsid w:val="710F21E7"/>
    <w:multiLevelType w:val="multilevel"/>
    <w:tmpl w:val="710F21E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0C"/>
    <w:rsid w:val="000119CA"/>
    <w:rsid w:val="00011C0F"/>
    <w:rsid w:val="00021BEB"/>
    <w:rsid w:val="00063D42"/>
    <w:rsid w:val="000C032B"/>
    <w:rsid w:val="000D56AE"/>
    <w:rsid w:val="000F083A"/>
    <w:rsid w:val="000F118B"/>
    <w:rsid w:val="00134B31"/>
    <w:rsid w:val="00162FF3"/>
    <w:rsid w:val="001926B1"/>
    <w:rsid w:val="00194A66"/>
    <w:rsid w:val="001A4251"/>
    <w:rsid w:val="001B3960"/>
    <w:rsid w:val="001B4D11"/>
    <w:rsid w:val="001B6F6A"/>
    <w:rsid w:val="00203DE2"/>
    <w:rsid w:val="00226184"/>
    <w:rsid w:val="00227E87"/>
    <w:rsid w:val="002327B3"/>
    <w:rsid w:val="00243877"/>
    <w:rsid w:val="002507C1"/>
    <w:rsid w:val="002522B2"/>
    <w:rsid w:val="00273F7C"/>
    <w:rsid w:val="002A2CA7"/>
    <w:rsid w:val="002C4F12"/>
    <w:rsid w:val="002D0C81"/>
    <w:rsid w:val="00301889"/>
    <w:rsid w:val="0031254B"/>
    <w:rsid w:val="0031749E"/>
    <w:rsid w:val="00364063"/>
    <w:rsid w:val="00394E00"/>
    <w:rsid w:val="003A22DC"/>
    <w:rsid w:val="003A6684"/>
    <w:rsid w:val="003D789C"/>
    <w:rsid w:val="003E0FDD"/>
    <w:rsid w:val="003E1B5E"/>
    <w:rsid w:val="003E1E55"/>
    <w:rsid w:val="003E589A"/>
    <w:rsid w:val="00414CF6"/>
    <w:rsid w:val="004153EA"/>
    <w:rsid w:val="00420FBA"/>
    <w:rsid w:val="00426E22"/>
    <w:rsid w:val="004303EB"/>
    <w:rsid w:val="00464C10"/>
    <w:rsid w:val="004E4B91"/>
    <w:rsid w:val="0050433C"/>
    <w:rsid w:val="00507D9A"/>
    <w:rsid w:val="00523E26"/>
    <w:rsid w:val="0053769D"/>
    <w:rsid w:val="00542436"/>
    <w:rsid w:val="0054339B"/>
    <w:rsid w:val="00544149"/>
    <w:rsid w:val="00572C42"/>
    <w:rsid w:val="00583454"/>
    <w:rsid w:val="00595928"/>
    <w:rsid w:val="005B3A54"/>
    <w:rsid w:val="005C68AF"/>
    <w:rsid w:val="005D114C"/>
    <w:rsid w:val="00603FB9"/>
    <w:rsid w:val="00634428"/>
    <w:rsid w:val="00641D56"/>
    <w:rsid w:val="006454D1"/>
    <w:rsid w:val="006462EC"/>
    <w:rsid w:val="00651B1C"/>
    <w:rsid w:val="00680EBE"/>
    <w:rsid w:val="006C4F91"/>
    <w:rsid w:val="006E5BD9"/>
    <w:rsid w:val="00733B28"/>
    <w:rsid w:val="00744DB4"/>
    <w:rsid w:val="00780F30"/>
    <w:rsid w:val="007817F1"/>
    <w:rsid w:val="007A1B13"/>
    <w:rsid w:val="007A5E9F"/>
    <w:rsid w:val="007B0AAF"/>
    <w:rsid w:val="0082058F"/>
    <w:rsid w:val="00835095"/>
    <w:rsid w:val="0085745A"/>
    <w:rsid w:val="00862CBA"/>
    <w:rsid w:val="00897E39"/>
    <w:rsid w:val="008A0366"/>
    <w:rsid w:val="008D4A36"/>
    <w:rsid w:val="009132A5"/>
    <w:rsid w:val="009167B0"/>
    <w:rsid w:val="0093607C"/>
    <w:rsid w:val="00973A8D"/>
    <w:rsid w:val="00976279"/>
    <w:rsid w:val="0098264B"/>
    <w:rsid w:val="00991250"/>
    <w:rsid w:val="00992B25"/>
    <w:rsid w:val="00992F41"/>
    <w:rsid w:val="00993F4B"/>
    <w:rsid w:val="009A0767"/>
    <w:rsid w:val="009A22BD"/>
    <w:rsid w:val="009F1EE3"/>
    <w:rsid w:val="00A0093C"/>
    <w:rsid w:val="00A119FE"/>
    <w:rsid w:val="00A21F38"/>
    <w:rsid w:val="00A304A6"/>
    <w:rsid w:val="00A325DC"/>
    <w:rsid w:val="00A37C0B"/>
    <w:rsid w:val="00A435FE"/>
    <w:rsid w:val="00A6186F"/>
    <w:rsid w:val="00A663AF"/>
    <w:rsid w:val="00A73D47"/>
    <w:rsid w:val="00A84601"/>
    <w:rsid w:val="00AB0961"/>
    <w:rsid w:val="00AB4899"/>
    <w:rsid w:val="00AC1454"/>
    <w:rsid w:val="00AE66F1"/>
    <w:rsid w:val="00B21B3B"/>
    <w:rsid w:val="00B23D4F"/>
    <w:rsid w:val="00B42CB7"/>
    <w:rsid w:val="00B759D1"/>
    <w:rsid w:val="00B81FAA"/>
    <w:rsid w:val="00B87C30"/>
    <w:rsid w:val="00BA2946"/>
    <w:rsid w:val="00BC3570"/>
    <w:rsid w:val="00BC6D7A"/>
    <w:rsid w:val="00BD1654"/>
    <w:rsid w:val="00BD22F5"/>
    <w:rsid w:val="00C357B8"/>
    <w:rsid w:val="00C43B74"/>
    <w:rsid w:val="00C54200"/>
    <w:rsid w:val="00C940F6"/>
    <w:rsid w:val="00C956B3"/>
    <w:rsid w:val="00CB1739"/>
    <w:rsid w:val="00CB70F0"/>
    <w:rsid w:val="00CE659E"/>
    <w:rsid w:val="00CE7394"/>
    <w:rsid w:val="00CF7EC2"/>
    <w:rsid w:val="00D20AA7"/>
    <w:rsid w:val="00D57612"/>
    <w:rsid w:val="00D71663"/>
    <w:rsid w:val="00D87BD0"/>
    <w:rsid w:val="00D87D2C"/>
    <w:rsid w:val="00DC0ABD"/>
    <w:rsid w:val="00DD67CE"/>
    <w:rsid w:val="00E05278"/>
    <w:rsid w:val="00E546E4"/>
    <w:rsid w:val="00E602CF"/>
    <w:rsid w:val="00E75956"/>
    <w:rsid w:val="00EA03B4"/>
    <w:rsid w:val="00EA5B7F"/>
    <w:rsid w:val="00EE53F5"/>
    <w:rsid w:val="00EF7F67"/>
    <w:rsid w:val="00F17954"/>
    <w:rsid w:val="00F2775D"/>
    <w:rsid w:val="00F4477C"/>
    <w:rsid w:val="00F5510C"/>
    <w:rsid w:val="00F62B3B"/>
    <w:rsid w:val="00FC13B4"/>
    <w:rsid w:val="00FC6A77"/>
    <w:rsid w:val="00FC7DAE"/>
    <w:rsid w:val="00FE16A8"/>
    <w:rsid w:val="00FE3992"/>
    <w:rsid w:val="00FE64B4"/>
    <w:rsid w:val="022C414D"/>
    <w:rsid w:val="0D0B5E98"/>
    <w:rsid w:val="11E47D68"/>
    <w:rsid w:val="1ED11B92"/>
    <w:rsid w:val="201E2B4C"/>
    <w:rsid w:val="2B3F4D1C"/>
    <w:rsid w:val="375876E8"/>
    <w:rsid w:val="3C613F68"/>
    <w:rsid w:val="4033403A"/>
    <w:rsid w:val="43592319"/>
    <w:rsid w:val="54D16F69"/>
    <w:rsid w:val="56E510A8"/>
    <w:rsid w:val="5A073010"/>
    <w:rsid w:val="683243A8"/>
    <w:rsid w:val="6B917708"/>
    <w:rsid w:val="70151597"/>
    <w:rsid w:val="7ACA646E"/>
    <w:rsid w:val="7FF24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Times New Roman" w:cs="Times New Roman"/>
      <w:sz w:val="24"/>
      <w:szCs w:val="24"/>
      <w:lang w:val="en" w:eastAsia="en-US" w:bidi="ar-SA"/>
    </w:rPr>
  </w:style>
  <w:style w:type="paragraph" w:styleId="2">
    <w:name w:val="heading 1"/>
    <w:basedOn w:val="1"/>
    <w:next w:val="1"/>
    <w:qFormat/>
    <w:uiPriority w:val="9"/>
    <w:pPr>
      <w:keepNext/>
      <w:keepLines/>
      <w:spacing w:before="60" w:line="360" w:lineRule="auto"/>
      <w:outlineLvl w:val="0"/>
    </w:pPr>
    <w:rPr>
      <w:b/>
      <w:bCs/>
      <w:sz w:val="26"/>
      <w:szCs w:val="26"/>
    </w:rPr>
  </w:style>
  <w:style w:type="paragraph" w:styleId="3">
    <w:name w:val="heading 2"/>
    <w:basedOn w:val="1"/>
    <w:next w:val="1"/>
    <w:unhideWhenUsed/>
    <w:qFormat/>
    <w:uiPriority w:val="9"/>
    <w:pPr>
      <w:keepNext/>
      <w:keepLines/>
      <w:spacing w:before="120" w:line="312" w:lineRule="auto"/>
      <w:ind w:firstLine="720"/>
      <w:outlineLvl w:val="1"/>
    </w:pPr>
    <w:rPr>
      <w:b/>
      <w:bCs/>
      <w:sz w:val="26"/>
      <w:szCs w:val="26"/>
      <w:lang w:val="vi-VN"/>
    </w:rPr>
  </w:style>
  <w:style w:type="paragraph" w:styleId="4">
    <w:name w:val="heading 3"/>
    <w:basedOn w:val="1"/>
    <w:next w:val="1"/>
    <w:unhideWhenUsed/>
    <w:qFormat/>
    <w:uiPriority w:val="9"/>
    <w:pPr>
      <w:keepNext/>
      <w:keepLines/>
      <w:spacing w:before="120" w:after="120" w:line="254" w:lineRule="auto"/>
      <w:ind w:firstLine="720"/>
      <w:outlineLvl w:val="2"/>
    </w:pPr>
    <w:rPr>
      <w:b/>
      <w:bCs/>
      <w:sz w:val="26"/>
      <w:szCs w:val="26"/>
      <w:lang w:val="vi-VN"/>
    </w:rPr>
  </w:style>
  <w:style w:type="paragraph" w:styleId="5">
    <w:name w:val="heading 4"/>
    <w:basedOn w:val="1"/>
    <w:next w:val="1"/>
    <w:unhideWhenUsed/>
    <w:qFormat/>
    <w:uiPriority w:val="9"/>
    <w:pPr>
      <w:spacing w:before="120" w:line="312" w:lineRule="auto"/>
      <w:ind w:firstLine="720"/>
      <w:outlineLvl w:val="3"/>
    </w:pPr>
    <w:rPr>
      <w:b/>
      <w:bCs/>
      <w:i/>
      <w:iCs/>
      <w:sz w:val="26"/>
      <w:szCs w:val="26"/>
      <w:lang w:val="vi-VN"/>
    </w:rPr>
  </w:style>
  <w:style w:type="paragraph" w:styleId="6">
    <w:name w:val="heading 5"/>
    <w:basedOn w:val="1"/>
    <w:next w:val="1"/>
    <w:semiHidden/>
    <w:unhideWhenUsed/>
    <w:qFormat/>
    <w:uiPriority w:val="9"/>
    <w:pPr>
      <w:keepNext/>
      <w:keepLines/>
      <w:spacing w:before="220" w:after="40"/>
      <w:outlineLvl w:val="4"/>
    </w:pPr>
    <w:rPr>
      <w:b/>
      <w:bCs/>
      <w:sz w:val="22"/>
      <w:szCs w:val="22"/>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paragraph" w:styleId="8">
    <w:name w:val="heading 9"/>
    <w:basedOn w:val="1"/>
    <w:next w:val="1"/>
    <w:link w:val="62"/>
    <w:semiHidden/>
    <w:unhideWhenUsed/>
    <w:qFormat/>
    <w:uiPriority w:val="9"/>
    <w:pPr>
      <w:keepNext/>
      <w:keepLines/>
      <w:spacing w:before="4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64"/>
    <w:semiHidden/>
    <w:unhideWhenUsed/>
    <w:qFormat/>
    <w:uiPriority w:val="99"/>
    <w:rPr>
      <w:rFonts w:ascii="Segoe UI" w:hAnsi="Segoe UI" w:cs="Segoe UI"/>
      <w:sz w:val="18"/>
      <w:szCs w:val="18"/>
    </w:rPr>
  </w:style>
  <w:style w:type="paragraph" w:styleId="12">
    <w:name w:val="Body Text"/>
    <w:basedOn w:val="1"/>
    <w:link w:val="60"/>
    <w:qFormat/>
    <w:uiPriority w:val="1"/>
    <w:pPr>
      <w:widowControl w:val="0"/>
      <w:autoSpaceDE w:val="0"/>
      <w:autoSpaceDN w:val="0"/>
      <w:jc w:val="left"/>
    </w:pPr>
    <w:rPr>
      <w:sz w:val="28"/>
      <w:szCs w:val="28"/>
      <w:lang w:val="vi"/>
    </w:rPr>
  </w:style>
  <w:style w:type="character" w:styleId="13">
    <w:name w:val="annotation reference"/>
    <w:basedOn w:val="9"/>
    <w:semiHidden/>
    <w:unhideWhenUsed/>
    <w:qFormat/>
    <w:uiPriority w:val="99"/>
    <w:rPr>
      <w:sz w:val="16"/>
      <w:szCs w:val="16"/>
    </w:rPr>
  </w:style>
  <w:style w:type="paragraph" w:styleId="14">
    <w:name w:val="annotation text"/>
    <w:basedOn w:val="1"/>
    <w:link w:val="53"/>
    <w:unhideWhenUsed/>
    <w:qFormat/>
    <w:uiPriority w:val="99"/>
    <w:rPr>
      <w:sz w:val="20"/>
      <w:szCs w:val="20"/>
    </w:rPr>
  </w:style>
  <w:style w:type="paragraph" w:styleId="15">
    <w:name w:val="annotation subject"/>
    <w:basedOn w:val="14"/>
    <w:next w:val="14"/>
    <w:link w:val="56"/>
    <w:semiHidden/>
    <w:unhideWhenUsed/>
    <w:qFormat/>
    <w:uiPriority w:val="99"/>
    <w:rPr>
      <w:b/>
      <w:bCs/>
    </w:rPr>
  </w:style>
  <w:style w:type="character" w:styleId="16">
    <w:name w:val="Emphasis"/>
    <w:basedOn w:val="9"/>
    <w:qFormat/>
    <w:uiPriority w:val="20"/>
    <w:rPr>
      <w:i/>
      <w:iCs/>
    </w:rPr>
  </w:style>
  <w:style w:type="paragraph" w:styleId="17">
    <w:name w:val="footer"/>
    <w:basedOn w:val="1"/>
    <w:link w:val="66"/>
    <w:unhideWhenUsed/>
    <w:qFormat/>
    <w:uiPriority w:val="99"/>
    <w:pPr>
      <w:tabs>
        <w:tab w:val="center" w:pos="4680"/>
        <w:tab w:val="right" w:pos="9360"/>
      </w:tabs>
    </w:pPr>
  </w:style>
  <w:style w:type="character" w:styleId="18">
    <w:name w:val="footnote reference"/>
    <w:basedOn w:val="9"/>
    <w:semiHidden/>
    <w:unhideWhenUsed/>
    <w:qFormat/>
    <w:uiPriority w:val="99"/>
    <w:rPr>
      <w:vertAlign w:val="superscript"/>
    </w:rPr>
  </w:style>
  <w:style w:type="paragraph" w:styleId="19">
    <w:name w:val="footnote text"/>
    <w:basedOn w:val="1"/>
    <w:link w:val="59"/>
    <w:semiHidden/>
    <w:unhideWhenUsed/>
    <w:qFormat/>
    <w:uiPriority w:val="99"/>
    <w:rPr>
      <w:sz w:val="20"/>
      <w:szCs w:val="20"/>
    </w:rPr>
  </w:style>
  <w:style w:type="paragraph" w:styleId="20">
    <w:name w:val="header"/>
    <w:basedOn w:val="1"/>
    <w:link w:val="67"/>
    <w:unhideWhenUsed/>
    <w:qFormat/>
    <w:uiPriority w:val="99"/>
    <w:pPr>
      <w:tabs>
        <w:tab w:val="center" w:pos="4680"/>
        <w:tab w:val="right" w:pos="9360"/>
      </w:tabs>
    </w:pPr>
  </w:style>
  <w:style w:type="character" w:styleId="21">
    <w:name w:val="Hyperlink"/>
    <w:basedOn w:val="9"/>
    <w:unhideWhenUsed/>
    <w:qFormat/>
    <w:uiPriority w:val="99"/>
    <w:rPr>
      <w:color w:val="0000FF" w:themeColor="hyperlink"/>
      <w:u w:val="single"/>
      <w14:textFill>
        <w14:solidFill>
          <w14:schemeClr w14:val="hlink"/>
        </w14:solidFill>
      </w14:textFill>
    </w:rPr>
  </w:style>
  <w:style w:type="paragraph" w:styleId="22">
    <w:name w:val="Normal (Web)"/>
    <w:basedOn w:val="1"/>
    <w:unhideWhenUsed/>
    <w:qFormat/>
    <w:uiPriority w:val="99"/>
    <w:pPr>
      <w:spacing w:before="100" w:beforeAutospacing="1" w:after="100" w:afterAutospacing="1"/>
      <w:jc w:val="left"/>
    </w:pPr>
    <w:rPr>
      <w:lang w:val="en-US"/>
    </w:rPr>
  </w:style>
  <w:style w:type="character" w:styleId="23">
    <w:name w:val="page number"/>
    <w:basedOn w:val="9"/>
    <w:semiHidden/>
    <w:unhideWhenUsed/>
    <w:qFormat/>
    <w:uiPriority w:val="99"/>
  </w:style>
  <w:style w:type="character" w:styleId="24">
    <w:name w:val="Strong"/>
    <w:qFormat/>
    <w:uiPriority w:val="22"/>
    <w:rPr>
      <w:b/>
      <w:bCs/>
    </w:rPr>
  </w:style>
  <w:style w:type="paragraph" w:styleId="25">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styleId="26">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Title"/>
    <w:basedOn w:val="1"/>
    <w:next w:val="1"/>
    <w:qFormat/>
    <w:uiPriority w:val="10"/>
    <w:pPr>
      <w:keepNext/>
      <w:keepLines/>
      <w:spacing w:before="480" w:after="120"/>
    </w:pPr>
    <w:rPr>
      <w:b/>
      <w:bCs/>
      <w:sz w:val="72"/>
      <w:szCs w:val="72"/>
    </w:rPr>
  </w:style>
  <w:style w:type="paragraph" w:styleId="28">
    <w:name w:val="toc 1"/>
    <w:basedOn w:val="1"/>
    <w:next w:val="1"/>
    <w:autoRedefine/>
    <w:unhideWhenUsed/>
    <w:qFormat/>
    <w:uiPriority w:val="39"/>
    <w:pPr>
      <w:spacing w:after="100"/>
    </w:pPr>
    <w:rPr>
      <w:b/>
    </w:rPr>
  </w:style>
  <w:style w:type="paragraph" w:styleId="29">
    <w:name w:val="toc 2"/>
    <w:basedOn w:val="1"/>
    <w:next w:val="1"/>
    <w:autoRedefine/>
    <w:unhideWhenUsed/>
    <w:qFormat/>
    <w:uiPriority w:val="39"/>
    <w:pPr>
      <w:spacing w:after="100"/>
      <w:ind w:left="240"/>
    </w:pPr>
    <w:rPr>
      <w:b/>
    </w:rPr>
  </w:style>
  <w:style w:type="paragraph" w:styleId="30">
    <w:name w:val="toc 3"/>
    <w:basedOn w:val="1"/>
    <w:next w:val="1"/>
    <w:autoRedefine/>
    <w:unhideWhenUsed/>
    <w:qFormat/>
    <w:uiPriority w:val="39"/>
    <w:pPr>
      <w:spacing w:after="100"/>
      <w:ind w:left="480"/>
    </w:pPr>
    <w:rPr>
      <w:b/>
      <w:i/>
    </w:rPr>
  </w:style>
  <w:style w:type="paragraph" w:styleId="31">
    <w:name w:val="toc 4"/>
    <w:basedOn w:val="1"/>
    <w:next w:val="1"/>
    <w:autoRedefine/>
    <w:unhideWhenUsed/>
    <w:qFormat/>
    <w:uiPriority w:val="39"/>
    <w:pPr>
      <w:spacing w:after="100"/>
      <w:ind w:left="720"/>
    </w:pPr>
    <w:rPr>
      <w:i/>
    </w:rPr>
  </w:style>
  <w:style w:type="paragraph" w:styleId="32">
    <w:name w:val="toc 5"/>
    <w:basedOn w:val="1"/>
    <w:next w:val="1"/>
    <w:autoRedefine/>
    <w:unhideWhenUsed/>
    <w:qFormat/>
    <w:uiPriority w:val="39"/>
    <w:pPr>
      <w:spacing w:after="100" w:line="259" w:lineRule="auto"/>
      <w:ind w:left="880"/>
      <w:jc w:val="left"/>
    </w:pPr>
    <w:rPr>
      <w:rFonts w:asciiTheme="minorHAnsi" w:hAnsiTheme="minorHAnsi" w:eastAsiaTheme="minorEastAsia" w:cstheme="minorBidi"/>
      <w:sz w:val="22"/>
      <w:szCs w:val="22"/>
      <w:lang w:val="en-US"/>
    </w:rPr>
  </w:style>
  <w:style w:type="paragraph" w:styleId="33">
    <w:name w:val="toc 6"/>
    <w:basedOn w:val="1"/>
    <w:next w:val="1"/>
    <w:autoRedefine/>
    <w:unhideWhenUsed/>
    <w:qFormat/>
    <w:uiPriority w:val="39"/>
    <w:pPr>
      <w:spacing w:after="100" w:line="259" w:lineRule="auto"/>
      <w:ind w:left="1100"/>
      <w:jc w:val="left"/>
    </w:pPr>
    <w:rPr>
      <w:rFonts w:asciiTheme="minorHAnsi" w:hAnsiTheme="minorHAnsi" w:eastAsiaTheme="minorEastAsia" w:cstheme="minorBidi"/>
      <w:sz w:val="22"/>
      <w:szCs w:val="22"/>
      <w:lang w:val="en-US"/>
    </w:rPr>
  </w:style>
  <w:style w:type="paragraph" w:styleId="34">
    <w:name w:val="toc 7"/>
    <w:basedOn w:val="1"/>
    <w:next w:val="1"/>
    <w:autoRedefine/>
    <w:unhideWhenUsed/>
    <w:qFormat/>
    <w:uiPriority w:val="39"/>
    <w:pPr>
      <w:spacing w:after="100" w:line="259" w:lineRule="auto"/>
      <w:ind w:left="1320"/>
      <w:jc w:val="left"/>
    </w:pPr>
    <w:rPr>
      <w:rFonts w:asciiTheme="minorHAnsi" w:hAnsiTheme="minorHAnsi" w:eastAsiaTheme="minorEastAsia" w:cstheme="minorBidi"/>
      <w:sz w:val="22"/>
      <w:szCs w:val="22"/>
      <w:lang w:val="en-US"/>
    </w:rPr>
  </w:style>
  <w:style w:type="paragraph" w:styleId="35">
    <w:name w:val="toc 8"/>
    <w:basedOn w:val="1"/>
    <w:next w:val="1"/>
    <w:autoRedefine/>
    <w:unhideWhenUsed/>
    <w:qFormat/>
    <w:uiPriority w:val="39"/>
    <w:pPr>
      <w:spacing w:after="100" w:line="259" w:lineRule="auto"/>
      <w:ind w:left="1540"/>
      <w:jc w:val="left"/>
    </w:pPr>
    <w:rPr>
      <w:rFonts w:asciiTheme="minorHAnsi" w:hAnsiTheme="minorHAnsi" w:eastAsiaTheme="minorEastAsia" w:cstheme="minorBidi"/>
      <w:sz w:val="22"/>
      <w:szCs w:val="22"/>
      <w:lang w:val="en-US"/>
    </w:rPr>
  </w:style>
  <w:style w:type="paragraph" w:styleId="36">
    <w:name w:val="toc 9"/>
    <w:basedOn w:val="1"/>
    <w:next w:val="1"/>
    <w:autoRedefine/>
    <w:unhideWhenUsed/>
    <w:qFormat/>
    <w:uiPriority w:val="39"/>
    <w:pPr>
      <w:spacing w:after="100" w:line="259" w:lineRule="auto"/>
      <w:ind w:left="1760"/>
      <w:jc w:val="left"/>
    </w:pPr>
    <w:rPr>
      <w:rFonts w:asciiTheme="minorHAnsi" w:hAnsiTheme="minorHAnsi" w:eastAsiaTheme="minorEastAsia" w:cstheme="minorBidi"/>
      <w:sz w:val="22"/>
      <w:szCs w:val="22"/>
      <w:lang w:val="en-US"/>
    </w:rPr>
  </w:style>
  <w:style w:type="table" w:customStyle="1" w:styleId="37">
    <w:name w:val="TableNormal"/>
    <w:qFormat/>
    <w:uiPriority w:val="0"/>
    <w:tblPr>
      <w:tblCellMar>
        <w:top w:w="100" w:type="dxa"/>
        <w:left w:w="100" w:type="dxa"/>
        <w:bottom w:w="100" w:type="dxa"/>
        <w:right w:w="100" w:type="dxa"/>
      </w:tblCellMar>
    </w:tblPr>
  </w:style>
  <w:style w:type="table" w:customStyle="1" w:styleId="38">
    <w:name w:val="_Style 13"/>
    <w:basedOn w:val="37"/>
    <w:qFormat/>
    <w:uiPriority w:val="0"/>
    <w:tblPr>
      <w:tblCellMar>
        <w:top w:w="0" w:type="dxa"/>
        <w:left w:w="108" w:type="dxa"/>
        <w:bottom w:w="0" w:type="dxa"/>
        <w:right w:w="108" w:type="dxa"/>
      </w:tblCellMar>
    </w:tblPr>
  </w:style>
  <w:style w:type="table" w:customStyle="1" w:styleId="39">
    <w:name w:val="_Style 14"/>
    <w:basedOn w:val="37"/>
    <w:qFormat/>
    <w:uiPriority w:val="0"/>
  </w:style>
  <w:style w:type="table" w:customStyle="1" w:styleId="40">
    <w:name w:val="_Style 15"/>
    <w:basedOn w:val="37"/>
    <w:qFormat/>
    <w:uiPriority w:val="0"/>
  </w:style>
  <w:style w:type="table" w:customStyle="1" w:styleId="41">
    <w:name w:val="_Style 16"/>
    <w:basedOn w:val="37"/>
    <w:qFormat/>
    <w:uiPriority w:val="0"/>
  </w:style>
  <w:style w:type="table" w:customStyle="1" w:styleId="42">
    <w:name w:val="_Style 17"/>
    <w:basedOn w:val="37"/>
    <w:qFormat/>
    <w:uiPriority w:val="0"/>
  </w:style>
  <w:style w:type="table" w:customStyle="1" w:styleId="43">
    <w:name w:val="_Style 18"/>
    <w:basedOn w:val="37"/>
    <w:qFormat/>
    <w:uiPriority w:val="0"/>
  </w:style>
  <w:style w:type="table" w:customStyle="1" w:styleId="44">
    <w:name w:val="_Style 19"/>
    <w:basedOn w:val="37"/>
    <w:qFormat/>
    <w:uiPriority w:val="0"/>
  </w:style>
  <w:style w:type="table" w:customStyle="1" w:styleId="45">
    <w:name w:val="_Style 20"/>
    <w:basedOn w:val="37"/>
    <w:qFormat/>
    <w:uiPriority w:val="0"/>
  </w:style>
  <w:style w:type="table" w:customStyle="1" w:styleId="46">
    <w:name w:val="_Style 21"/>
    <w:basedOn w:val="37"/>
    <w:qFormat/>
    <w:uiPriority w:val="0"/>
  </w:style>
  <w:style w:type="table" w:customStyle="1" w:styleId="47">
    <w:name w:val="_Style 22"/>
    <w:basedOn w:val="37"/>
    <w:qFormat/>
    <w:uiPriority w:val="0"/>
  </w:style>
  <w:style w:type="table" w:customStyle="1" w:styleId="48">
    <w:name w:val="_Style 23"/>
    <w:basedOn w:val="37"/>
    <w:qFormat/>
    <w:uiPriority w:val="0"/>
    <w:tblPr>
      <w:tblCellMar>
        <w:top w:w="0" w:type="dxa"/>
        <w:left w:w="108" w:type="dxa"/>
        <w:bottom w:w="0" w:type="dxa"/>
        <w:right w:w="108" w:type="dxa"/>
      </w:tblCellMar>
    </w:tblPr>
  </w:style>
  <w:style w:type="table" w:customStyle="1" w:styleId="49">
    <w:name w:val="_Style 24"/>
    <w:basedOn w:val="37"/>
    <w:qFormat/>
    <w:uiPriority w:val="0"/>
    <w:tblPr>
      <w:tblCellMar>
        <w:top w:w="0" w:type="dxa"/>
        <w:left w:w="108" w:type="dxa"/>
        <w:bottom w:w="0" w:type="dxa"/>
        <w:right w:w="108" w:type="dxa"/>
      </w:tblCellMar>
    </w:tblPr>
  </w:style>
  <w:style w:type="table" w:customStyle="1" w:styleId="50">
    <w:name w:val="_Style 25"/>
    <w:basedOn w:val="37"/>
    <w:qFormat/>
    <w:uiPriority w:val="0"/>
    <w:tblPr>
      <w:tblCellMar>
        <w:top w:w="0" w:type="dxa"/>
        <w:left w:w="108" w:type="dxa"/>
        <w:bottom w:w="0" w:type="dxa"/>
        <w:right w:w="108" w:type="dxa"/>
      </w:tblCellMar>
    </w:tblPr>
  </w:style>
  <w:style w:type="table" w:customStyle="1" w:styleId="51">
    <w:name w:val="_Style 26"/>
    <w:basedOn w:val="37"/>
    <w:qFormat/>
    <w:uiPriority w:val="0"/>
    <w:tblPr>
      <w:tblCellMar>
        <w:top w:w="0" w:type="dxa"/>
        <w:left w:w="108" w:type="dxa"/>
        <w:bottom w:w="0" w:type="dxa"/>
        <w:right w:w="108" w:type="dxa"/>
      </w:tblCellMar>
    </w:tblPr>
  </w:style>
  <w:style w:type="table" w:customStyle="1" w:styleId="52">
    <w:name w:val="_Style 27"/>
    <w:basedOn w:val="37"/>
    <w:qFormat/>
    <w:uiPriority w:val="0"/>
    <w:tblPr>
      <w:tblCellMar>
        <w:top w:w="0" w:type="dxa"/>
        <w:left w:w="108" w:type="dxa"/>
        <w:bottom w:w="0" w:type="dxa"/>
        <w:right w:w="108" w:type="dxa"/>
      </w:tblCellMar>
    </w:tblPr>
  </w:style>
  <w:style w:type="character" w:customStyle="1" w:styleId="53">
    <w:name w:val="Comment Text Char"/>
    <w:basedOn w:val="9"/>
    <w:link w:val="14"/>
    <w:qFormat/>
    <w:uiPriority w:val="99"/>
    <w:rPr>
      <w:sz w:val="20"/>
      <w:szCs w:val="20"/>
    </w:rPr>
  </w:style>
  <w:style w:type="character" w:customStyle="1" w:styleId="54">
    <w:name w:val="Unresolved Mention1"/>
    <w:basedOn w:val="9"/>
    <w:semiHidden/>
    <w:unhideWhenUsed/>
    <w:qFormat/>
    <w:uiPriority w:val="99"/>
    <w:rPr>
      <w:color w:val="605E5C"/>
      <w:shd w:val="clear" w:color="auto" w:fill="E1DFDD"/>
    </w:rPr>
  </w:style>
  <w:style w:type="paragraph" w:styleId="55">
    <w:name w:val="List Paragraph"/>
    <w:basedOn w:val="1"/>
    <w:qFormat/>
    <w:uiPriority w:val="34"/>
    <w:pPr>
      <w:ind w:left="720"/>
      <w:contextualSpacing/>
    </w:pPr>
  </w:style>
  <w:style w:type="character" w:customStyle="1" w:styleId="56">
    <w:name w:val="Comment Subject Char"/>
    <w:basedOn w:val="53"/>
    <w:link w:val="15"/>
    <w:semiHidden/>
    <w:qFormat/>
    <w:uiPriority w:val="99"/>
    <w:rPr>
      <w:b/>
      <w:bCs/>
      <w:sz w:val="20"/>
      <w:szCs w:val="20"/>
    </w:rPr>
  </w:style>
  <w:style w:type="paragraph" w:customStyle="1" w:styleId="57">
    <w:name w:val="Revision1"/>
    <w:hidden/>
    <w:semiHidden/>
    <w:qFormat/>
    <w:uiPriority w:val="99"/>
    <w:rPr>
      <w:rFonts w:ascii="Times New Roman" w:hAnsi="Times New Roman" w:eastAsia="Times New Roman" w:cs="Times New Roman"/>
      <w:sz w:val="24"/>
      <w:szCs w:val="24"/>
      <w:lang w:val="en" w:eastAsia="en-US" w:bidi="ar-SA"/>
    </w:rPr>
  </w:style>
  <w:style w:type="table" w:customStyle="1" w:styleId="58">
    <w:name w:val="TableGrid"/>
    <w:qFormat/>
    <w:uiPriority w:val="0"/>
    <w:rPr>
      <w:rFonts w:asciiTheme="minorHAnsi" w:hAnsiTheme="minorHAnsi" w:eastAsiaTheme="minorEastAsia" w:cstheme="minorBidi"/>
      <w:kern w:val="2"/>
      <w14:ligatures w14:val="standardContextual"/>
    </w:rPr>
    <w:tblPr>
      <w:tblCellMar>
        <w:top w:w="0" w:type="dxa"/>
        <w:left w:w="0" w:type="dxa"/>
        <w:bottom w:w="0" w:type="dxa"/>
        <w:right w:w="0" w:type="dxa"/>
      </w:tblCellMar>
    </w:tblPr>
  </w:style>
  <w:style w:type="character" w:customStyle="1" w:styleId="59">
    <w:name w:val="Footnote Text Char"/>
    <w:basedOn w:val="9"/>
    <w:link w:val="19"/>
    <w:semiHidden/>
    <w:qFormat/>
    <w:uiPriority w:val="99"/>
    <w:rPr>
      <w:sz w:val="20"/>
      <w:szCs w:val="20"/>
    </w:rPr>
  </w:style>
  <w:style w:type="character" w:customStyle="1" w:styleId="60">
    <w:name w:val="Body Text Char"/>
    <w:basedOn w:val="9"/>
    <w:link w:val="12"/>
    <w:qFormat/>
    <w:uiPriority w:val="1"/>
    <w:rPr>
      <w:sz w:val="28"/>
      <w:szCs w:val="28"/>
      <w:lang w:val="vi"/>
    </w:rPr>
  </w:style>
  <w:style w:type="paragraph" w:customStyle="1" w:styleId="61">
    <w:name w:val="Table Paragraph"/>
    <w:basedOn w:val="1"/>
    <w:qFormat/>
    <w:uiPriority w:val="1"/>
    <w:pPr>
      <w:widowControl w:val="0"/>
      <w:autoSpaceDE w:val="0"/>
      <w:autoSpaceDN w:val="0"/>
      <w:spacing w:before="122"/>
      <w:jc w:val="right"/>
    </w:pPr>
    <w:rPr>
      <w:rFonts w:ascii="Arial" w:hAnsi="Arial" w:eastAsia="Arial" w:cs="Arial"/>
      <w:sz w:val="22"/>
      <w:szCs w:val="22"/>
      <w:lang w:val="vi"/>
    </w:rPr>
  </w:style>
  <w:style w:type="character" w:customStyle="1" w:styleId="62">
    <w:name w:val="Heading 9 Char"/>
    <w:basedOn w:val="9"/>
    <w:link w:val="8"/>
    <w:semiHidden/>
    <w:qFormat/>
    <w:uiPriority w:val="9"/>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paragraph" w:customStyle="1" w:styleId="63">
    <w:name w:val="isselectedend"/>
    <w:basedOn w:val="1"/>
    <w:qFormat/>
    <w:uiPriority w:val="0"/>
    <w:pPr>
      <w:spacing w:before="100" w:beforeAutospacing="1" w:after="100" w:afterAutospacing="1"/>
      <w:jc w:val="left"/>
    </w:pPr>
    <w:rPr>
      <w:lang w:val="en-US"/>
    </w:rPr>
  </w:style>
  <w:style w:type="character" w:customStyle="1" w:styleId="64">
    <w:name w:val="Balloon Text Char"/>
    <w:basedOn w:val="9"/>
    <w:link w:val="11"/>
    <w:semiHidden/>
    <w:qFormat/>
    <w:uiPriority w:val="99"/>
    <w:rPr>
      <w:rFonts w:ascii="Segoe UI" w:hAnsi="Segoe UI" w:cs="Segoe UI"/>
      <w:sz w:val="18"/>
      <w:szCs w:val="18"/>
    </w:rPr>
  </w:style>
  <w:style w:type="character" w:customStyle="1" w:styleId="65">
    <w:name w:val="Unresolved Mention"/>
    <w:basedOn w:val="9"/>
    <w:semiHidden/>
    <w:unhideWhenUsed/>
    <w:qFormat/>
    <w:uiPriority w:val="99"/>
    <w:rPr>
      <w:color w:val="605E5C"/>
      <w:shd w:val="clear" w:color="auto" w:fill="E1DFDD"/>
    </w:rPr>
  </w:style>
  <w:style w:type="character" w:customStyle="1" w:styleId="66">
    <w:name w:val="Footer Char"/>
    <w:basedOn w:val="9"/>
    <w:link w:val="17"/>
    <w:qFormat/>
    <w:uiPriority w:val="99"/>
    <w:rPr>
      <w:rFonts w:eastAsia="Times New Roman"/>
      <w:sz w:val="24"/>
      <w:szCs w:val="24"/>
      <w:lang w:val="en" w:eastAsia="en-US"/>
    </w:rPr>
  </w:style>
  <w:style w:type="character" w:customStyle="1" w:styleId="67">
    <w:name w:val="Header Char"/>
    <w:basedOn w:val="9"/>
    <w:link w:val="20"/>
    <w:uiPriority w:val="99"/>
    <w:rPr>
      <w:rFonts w:eastAsia="Times New Roman"/>
      <w:sz w:val="24"/>
      <w:szCs w:val="24"/>
      <w:lang w:val="en"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F5EE6F-7F29-410D-821F-C34CEC9F626F}">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2273</Words>
  <Characters>8476</Characters>
  <Lines>1538</Lines>
  <Paragraphs>433</Paragraphs>
  <TotalTime>120</TotalTime>
  <ScaleCrop>false</ScaleCrop>
  <LinksUpToDate>false</LinksUpToDate>
  <CharactersWithSpaces>10784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2026-06-24T01:52:00Z</dcterms:created>
  <dc:creator>Nguyễn Võ Hưng</dc:creator>
  <cp:lastModifiedBy>Admin</cp:lastModifiedBy>
  <dcterms:modified xsi:type="dcterms:W3CDTF">2026-06-26T03:55:28Z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eyJoZGlkIjoiMGI5NTA0ZGI1ZjQzNWZmNGI4NjJhZWM3MTBjOTk3NjEifQ==</vt:lpwstr>
  </property>
  <property fmtid="{D5CDD505-2E9C-101B-9397-08002B2CF9AE}" pid="3" name="KSOProductBuildVer">
    <vt:lpwstr>1033-12.1.0.26880</vt:lpwstr>
  </property>
  <property fmtid="{D5CDD505-2E9C-101B-9397-08002B2CF9AE}" pid="4" name="ICV">
    <vt:lpwstr>D26463B1746B4744A9294E2D17872F22_13</vt:lpwstr>
  </property>
</Properties>
</file>